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通许县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</w:rPr>
        <w:t>年农业机械报废更新补贴流程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 xml:space="preserve">        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农机确认（申请报废的农机应当主要部件齐全，来源清楚合法）。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</w:t>
      </w: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2、报废申请（申请人（个人和农业生产经营组织）凭牌证、发票到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通许县鑫恒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报废回收有限公司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或河南恒策报废农机回收有限公司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提出报废申请，不能提供发票、牌证的申请人，经村委会核实后填写承诺书；纳入牌证管理的农机需要提供监理机构核发的牌证；无牌证或未纳入牌证管理的，应当具有铭牌或出厂编号、车架号等机具身份信息。回收公司进行资料审核，通过后填写申请书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3、报废旧机（机主自愿将拟报废的农机交售给经公布的回收企业，报废农机残值由回收企业与机主按照公平自愿原则商定。回收企业应当核对机主和拟报废的农机信息，向机主出具《报废农业机械回收确认表》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4、注销登记（纳入牌证管理的拖拉机和联合收割机机主持《确认表》和相关证照，到县农业机械主管部门依法办理牌证注销手续。县农业机械主管部门核对机主和报废农机信息后，在《确认表》上签注“已办理注销登记”字样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5、兑现补贴（机主凭有效的《确认表》，按照相关规定办理补贴）。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通许县农业机械技术中心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2022年10月15日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NTcxYmMxNTU5ZjBkZWMzMjk5YTk5NzQxNTQ2NTIifQ=="/>
  </w:docVars>
  <w:rsids>
    <w:rsidRoot w:val="00000000"/>
    <w:rsid w:val="0DF13300"/>
    <w:rsid w:val="32561B1E"/>
    <w:rsid w:val="49C52F0C"/>
    <w:rsid w:val="4B3D453E"/>
    <w:rsid w:val="67EA0EDD"/>
    <w:rsid w:val="7B05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473</Characters>
  <Lines>0</Lines>
  <Paragraphs>0</Paragraphs>
  <TotalTime>9</TotalTime>
  <ScaleCrop>false</ScaleCrop>
  <LinksUpToDate>false</LinksUpToDate>
  <CharactersWithSpaces>577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2021-12-14T06:46:00Z</dcterms:created>
  <dc:creator>Administrator</dc:creator>
  <cp:lastModifiedBy>张海朋</cp:lastModifiedBy>
  <dcterms:modified xsi:type="dcterms:W3CDTF">2023-02-15T06:32:08Z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D45744FEA1BB418F8B44BA6B29930DAC</vt:lpwstr>
  </property>
</Properties>
</file>