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34" w:rsidRDefault="001036F8" w:rsidP="00551EF4">
      <w:pPr>
        <w:widowControl/>
        <w:jc w:val="left"/>
        <w:outlineLvl w:val="0"/>
        <w:rPr>
          <w:rFonts w:ascii="黑体" w:eastAsia="黑体" w:hAnsi="黑体" w:cs="宋体" w:hint="eastAsia"/>
          <w:b/>
          <w:bCs/>
          <w:color w:val="333333"/>
          <w:kern w:val="0"/>
          <w:sz w:val="36"/>
          <w:szCs w:val="36"/>
        </w:rPr>
      </w:pPr>
      <w:r>
        <w:rPr>
          <w:rFonts w:ascii="微软雅黑" w:eastAsia="微软雅黑" w:hAnsi="微软雅黑" w:cs="宋体" w:hint="eastAsia"/>
          <w:b/>
          <w:bCs/>
          <w:color w:val="333333"/>
          <w:kern w:val="36"/>
          <w:sz w:val="39"/>
          <w:szCs w:val="39"/>
        </w:rPr>
        <w:t>柘城县</w:t>
      </w:r>
      <w:r w:rsidR="00545415" w:rsidRPr="00545415">
        <w:rPr>
          <w:rFonts w:ascii="微软雅黑" w:eastAsia="微软雅黑" w:hAnsi="微软雅黑" w:cs="宋体" w:hint="eastAsia"/>
          <w:b/>
          <w:bCs/>
          <w:color w:val="333333"/>
          <w:kern w:val="36"/>
          <w:sz w:val="39"/>
          <w:szCs w:val="39"/>
        </w:rPr>
        <w:t>农机购置补贴异常情形报告制度</w:t>
      </w:r>
      <w:r w:rsidR="00545415" w:rsidRPr="00545415">
        <w:rPr>
          <w:rFonts w:ascii="黑体" w:eastAsia="黑体" w:hAnsi="黑体" w:cs="宋体" w:hint="eastAsia"/>
          <w:b/>
          <w:bCs/>
          <w:color w:val="333333"/>
          <w:kern w:val="0"/>
          <w:sz w:val="36"/>
          <w:szCs w:val="36"/>
        </w:rPr>
        <w:t>（试</w:t>
      </w:r>
      <w:bookmarkStart w:id="0" w:name="_GoBack"/>
      <w:bookmarkEnd w:id="0"/>
      <w:r w:rsidR="00545415" w:rsidRPr="00545415">
        <w:rPr>
          <w:rFonts w:ascii="黑体" w:eastAsia="黑体" w:hAnsi="黑体" w:cs="宋体" w:hint="eastAsia"/>
          <w:b/>
          <w:bCs/>
          <w:color w:val="333333"/>
          <w:kern w:val="0"/>
          <w:sz w:val="36"/>
          <w:szCs w:val="36"/>
        </w:rPr>
        <w:t>行）</w:t>
      </w:r>
    </w:p>
    <w:p w:rsidR="009A5198" w:rsidRPr="001036F8" w:rsidRDefault="00004E34" w:rsidP="00551EF4">
      <w:pPr>
        <w:widowControl/>
        <w:jc w:val="left"/>
        <w:outlineLvl w:val="0"/>
        <w:rPr>
          <w:rFonts w:ascii="Verdana" w:eastAsia="宋体" w:hAnsi="Verdana" w:cs="宋体"/>
          <w:b/>
          <w:bCs/>
          <w:color w:val="333333"/>
          <w:kern w:val="36"/>
          <w:sz w:val="48"/>
          <w:szCs w:val="48"/>
        </w:rPr>
      </w:pPr>
      <w:r>
        <w:rPr>
          <w:rFonts w:ascii="黑体" w:eastAsia="黑体" w:hAnsi="黑体" w:cs="宋体" w:hint="eastAsia"/>
          <w:b/>
          <w:bCs/>
          <w:color w:val="333333"/>
          <w:kern w:val="0"/>
          <w:sz w:val="36"/>
          <w:szCs w:val="36"/>
        </w:rPr>
        <w:t>----</w:t>
      </w:r>
      <w:r w:rsidRPr="001B6243">
        <w:rPr>
          <w:rFonts w:ascii="黑体" w:eastAsia="黑体" w:hAnsi="黑体" w:cs="宋体" w:hint="eastAsia"/>
          <w:b/>
          <w:bCs/>
          <w:color w:val="333333"/>
          <w:kern w:val="0"/>
          <w:sz w:val="32"/>
          <w:szCs w:val="32"/>
        </w:rPr>
        <w:t>按</w:t>
      </w:r>
      <w:r w:rsidRPr="001B6243">
        <w:rPr>
          <w:rFonts w:ascii="黑体" w:eastAsia="黑体" w:hAnsi="黑体" w:cs="宋体" w:hint="eastAsia"/>
          <w:b/>
          <w:bCs/>
          <w:color w:val="333333"/>
          <w:kern w:val="0"/>
          <w:sz w:val="32"/>
          <w:szCs w:val="32"/>
        </w:rPr>
        <w:t>《</w:t>
      </w:r>
      <w:r w:rsidRPr="001B6243">
        <w:rPr>
          <w:rStyle w:val="a5"/>
          <w:rFonts w:ascii="黑体" w:eastAsia="黑体" w:hAnsi="黑体" w:hint="eastAsia"/>
          <w:color w:val="333333"/>
          <w:sz w:val="32"/>
          <w:szCs w:val="32"/>
        </w:rPr>
        <w:t>河南省农机购置补贴异常情形报告制度（试行）</w:t>
      </w:r>
      <w:r w:rsidRPr="001B6243">
        <w:rPr>
          <w:rFonts w:ascii="黑体" w:eastAsia="黑体" w:hAnsi="黑体" w:cs="宋体" w:hint="eastAsia"/>
          <w:b/>
          <w:bCs/>
          <w:color w:val="333333"/>
          <w:kern w:val="0"/>
          <w:sz w:val="32"/>
          <w:szCs w:val="32"/>
        </w:rPr>
        <w:t>》</w:t>
      </w:r>
      <w:r w:rsidR="007C62B8" w:rsidRPr="001B6243">
        <w:rPr>
          <w:rStyle w:val="a5"/>
          <w:rFonts w:ascii="黑体" w:eastAsia="黑体" w:hAnsi="黑体" w:hint="eastAsia"/>
          <w:color w:val="333333"/>
          <w:sz w:val="32"/>
          <w:szCs w:val="32"/>
        </w:rPr>
        <w:t>执行</w:t>
      </w:r>
      <w:r w:rsidR="00545415" w:rsidRPr="001B6243">
        <w:rPr>
          <w:rFonts w:ascii="Verdana" w:eastAsia="微软雅黑" w:hAnsi="Verdana" w:cs="宋体"/>
          <w:color w:val="333333"/>
          <w:kern w:val="0"/>
          <w:sz w:val="32"/>
          <w:szCs w:val="32"/>
        </w:rPr>
        <w:br/>
      </w:r>
      <w:r w:rsidR="00545415" w:rsidRPr="00545415">
        <w:rPr>
          <w:rFonts w:ascii="仿宋" w:eastAsia="仿宋" w:hAnsi="仿宋" w:cs="宋体" w:hint="eastAsia"/>
          <w:b/>
          <w:bCs/>
          <w:color w:val="333333"/>
          <w:kern w:val="0"/>
          <w:sz w:val="32"/>
          <w:szCs w:val="32"/>
        </w:rPr>
        <w:t>第一章</w:t>
      </w:r>
      <w:r w:rsidR="00545415" w:rsidRPr="00545415">
        <w:rPr>
          <w:rFonts w:ascii="微软雅黑" w:eastAsia="微软雅黑" w:hAnsi="微软雅黑" w:cs="宋体" w:hint="eastAsia"/>
          <w:b/>
          <w:bCs/>
          <w:color w:val="333333"/>
          <w:kern w:val="0"/>
          <w:szCs w:val="21"/>
        </w:rPr>
        <w:t>  </w:t>
      </w:r>
      <w:r w:rsidR="00545415" w:rsidRPr="00545415">
        <w:rPr>
          <w:rFonts w:ascii="仿宋" w:eastAsia="仿宋" w:hAnsi="仿宋" w:cs="宋体" w:hint="eastAsia"/>
          <w:b/>
          <w:bCs/>
          <w:color w:val="333333"/>
          <w:kern w:val="0"/>
          <w:sz w:val="32"/>
          <w:szCs w:val="32"/>
        </w:rPr>
        <w:t>总</w:t>
      </w:r>
      <w:r w:rsidR="00545415" w:rsidRPr="00545415">
        <w:rPr>
          <w:rFonts w:ascii="微软雅黑" w:eastAsia="微软雅黑" w:hAnsi="微软雅黑" w:cs="宋体" w:hint="eastAsia"/>
          <w:b/>
          <w:bCs/>
          <w:color w:val="333333"/>
          <w:kern w:val="0"/>
          <w:szCs w:val="21"/>
        </w:rPr>
        <w:t>  </w:t>
      </w:r>
      <w:r w:rsidR="00545415" w:rsidRPr="00545415">
        <w:rPr>
          <w:rFonts w:ascii="仿宋" w:eastAsia="仿宋" w:hAnsi="仿宋" w:cs="宋体" w:hint="eastAsia"/>
          <w:b/>
          <w:bCs/>
          <w:color w:val="333333"/>
          <w:kern w:val="0"/>
          <w:sz w:val="32"/>
          <w:szCs w:val="32"/>
        </w:rPr>
        <w:t>则</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第一条</w:t>
      </w:r>
      <w:r w:rsidR="00545415" w:rsidRPr="00545415">
        <w:rPr>
          <w:rFonts w:ascii="Calibri" w:eastAsia="微软雅黑" w:hAnsi="Calibri" w:cs="宋体"/>
          <w:color w:val="333333"/>
          <w:kern w:val="0"/>
          <w:szCs w:val="21"/>
        </w:rPr>
        <w:t>  </w:t>
      </w:r>
      <w:r w:rsidR="00545415" w:rsidRPr="00545415">
        <w:rPr>
          <w:rFonts w:ascii="仿宋" w:eastAsia="仿宋" w:hAnsi="仿宋" w:cs="宋体" w:hint="eastAsia"/>
          <w:color w:val="333333"/>
          <w:kern w:val="0"/>
          <w:sz w:val="32"/>
          <w:szCs w:val="32"/>
        </w:rPr>
        <w:t>为进一步做好农机购置补贴政策实施工作，规范操作，强化监管，根据农业部办公厅财政部办公厅联合印发的《农业机械购置补贴产品违规经营行为处理办法（试行）》（农办财〔2017〕26号）、年度农机购置补贴实施指导意见等有关规定，制定本办法。</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第二条</w:t>
      </w:r>
      <w:r w:rsidR="00545415" w:rsidRPr="00545415">
        <w:rPr>
          <w:rFonts w:ascii="Calibri" w:eastAsia="微软雅黑" w:hAnsi="Calibri" w:cs="宋体"/>
          <w:color w:val="333333"/>
          <w:kern w:val="0"/>
          <w:szCs w:val="21"/>
        </w:rPr>
        <w:t>  </w:t>
      </w:r>
      <w:r w:rsidR="00545415" w:rsidRPr="00545415">
        <w:rPr>
          <w:rFonts w:ascii="仿宋" w:eastAsia="仿宋" w:hAnsi="仿宋" w:cs="宋体" w:hint="eastAsia"/>
          <w:color w:val="333333"/>
          <w:kern w:val="0"/>
          <w:sz w:val="32"/>
          <w:szCs w:val="32"/>
        </w:rPr>
        <w:t>本办法适用于补贴机具投档、机具核验、政策实施、机具鉴定（认证）等过程中所发生的异常情形，以及其它与补贴有关的异常情形。</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第三条</w:t>
      </w:r>
      <w:r w:rsidR="00545415" w:rsidRPr="00545415">
        <w:rPr>
          <w:rFonts w:ascii="Calibri" w:eastAsia="微软雅黑" w:hAnsi="Calibri" w:cs="宋体"/>
          <w:color w:val="333333"/>
          <w:kern w:val="0"/>
          <w:szCs w:val="21"/>
        </w:rPr>
        <w:t>  </w:t>
      </w:r>
      <w:r w:rsidR="00545415" w:rsidRPr="00545415">
        <w:rPr>
          <w:rFonts w:ascii="仿宋" w:eastAsia="仿宋" w:hAnsi="仿宋" w:cs="宋体" w:hint="eastAsia"/>
          <w:color w:val="333333"/>
          <w:kern w:val="0"/>
          <w:sz w:val="32"/>
          <w:szCs w:val="32"/>
        </w:rPr>
        <w:t>本办法所称异常情形是指在农机购置补贴政策实施过程中出现的与补贴政策不符或有悖于常规操作的行为及情形等。</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第四条</w:t>
      </w:r>
      <w:r w:rsidR="00545415" w:rsidRPr="00545415">
        <w:rPr>
          <w:rFonts w:ascii="Calibri" w:eastAsia="微软雅黑" w:hAnsi="Calibri" w:cs="宋体"/>
          <w:color w:val="333333"/>
          <w:kern w:val="0"/>
          <w:szCs w:val="21"/>
        </w:rPr>
        <w:t>  </w:t>
      </w:r>
      <w:r w:rsidR="00545415" w:rsidRPr="00545415">
        <w:rPr>
          <w:rFonts w:ascii="仿宋" w:eastAsia="仿宋" w:hAnsi="仿宋" w:cs="宋体" w:hint="eastAsia"/>
          <w:color w:val="333333"/>
          <w:kern w:val="0"/>
          <w:sz w:val="32"/>
          <w:szCs w:val="32"/>
        </w:rPr>
        <w:t>本办法的报告主体</w:t>
      </w:r>
      <w:proofErr w:type="gramStart"/>
      <w:r w:rsidR="00545415" w:rsidRPr="00545415">
        <w:rPr>
          <w:rFonts w:ascii="仿宋" w:eastAsia="仿宋" w:hAnsi="仿宋" w:cs="宋体" w:hint="eastAsia"/>
          <w:color w:val="333333"/>
          <w:kern w:val="0"/>
          <w:sz w:val="32"/>
          <w:szCs w:val="32"/>
        </w:rPr>
        <w:t>含各级</w:t>
      </w:r>
      <w:proofErr w:type="gramEnd"/>
      <w:r w:rsidR="00545415" w:rsidRPr="00545415">
        <w:rPr>
          <w:rFonts w:ascii="仿宋" w:eastAsia="仿宋" w:hAnsi="仿宋" w:cs="宋体" w:hint="eastAsia"/>
          <w:color w:val="333333"/>
          <w:kern w:val="0"/>
          <w:sz w:val="32"/>
          <w:szCs w:val="32"/>
        </w:rPr>
        <w:t>农机主管部门、农机生产企业、经销企业、购机户等。</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b/>
          <w:bCs/>
          <w:color w:val="333333"/>
          <w:kern w:val="0"/>
          <w:sz w:val="32"/>
          <w:szCs w:val="32"/>
        </w:rPr>
        <w:t>第二章</w:t>
      </w:r>
      <w:r w:rsidR="00545415" w:rsidRPr="00545415">
        <w:rPr>
          <w:rFonts w:ascii="微软雅黑" w:eastAsia="微软雅黑" w:hAnsi="微软雅黑" w:cs="宋体" w:hint="eastAsia"/>
          <w:b/>
          <w:bCs/>
          <w:color w:val="333333"/>
          <w:kern w:val="0"/>
          <w:szCs w:val="21"/>
        </w:rPr>
        <w:t>  </w:t>
      </w:r>
      <w:r w:rsidR="00545415" w:rsidRPr="00545415">
        <w:rPr>
          <w:rFonts w:ascii="仿宋" w:eastAsia="仿宋" w:hAnsi="仿宋" w:cs="宋体" w:hint="eastAsia"/>
          <w:b/>
          <w:bCs/>
          <w:color w:val="333333"/>
          <w:kern w:val="0"/>
          <w:sz w:val="32"/>
          <w:szCs w:val="32"/>
        </w:rPr>
        <w:t>异常情形类型与处理</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第五条</w:t>
      </w:r>
      <w:r w:rsidR="00545415" w:rsidRPr="00545415">
        <w:rPr>
          <w:rFonts w:ascii="Calibri" w:eastAsia="微软雅黑" w:hAnsi="Calibri" w:cs="宋体"/>
          <w:color w:val="333333"/>
          <w:kern w:val="0"/>
          <w:szCs w:val="21"/>
        </w:rPr>
        <w:t>  </w:t>
      </w:r>
      <w:r w:rsidR="00545415" w:rsidRPr="00545415">
        <w:rPr>
          <w:rFonts w:ascii="仿宋" w:eastAsia="仿宋" w:hAnsi="仿宋" w:cs="宋体" w:hint="eastAsia"/>
          <w:color w:val="333333"/>
          <w:kern w:val="0"/>
          <w:sz w:val="32"/>
          <w:szCs w:val="32"/>
        </w:rPr>
        <w:t>异常情形总体包含补贴机具投档、机具核验、政策实施和机具鉴定（认证）等。</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（一）补贴机具投档</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1.主要内容：</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lastRenderedPageBreak/>
        <w:t>（1）投档机具补贴额比例超过投档系统设定的预警比例（暂定40%）的；</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（2）投档机具参数不符合我省相关档次、配置要求的；</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（3）社会对投档机具参数、性能、价格等提出异议的；</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（4）接到关于投档机具相关举报、投诉的；</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（5）列入全国农机购置补贴黑名单数据库的生产企业、法定代表人、主要从业人员及机具参与投档的；</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（6）列入全国农机购置补贴违规通报数据库且尚未恢复或已取消补贴资格的机具参与投档的；</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（7）国家产品质量监督抽查或市场质量监督检查中不合格的机具</w:t>
      </w:r>
      <w:proofErr w:type="gramStart"/>
      <w:r w:rsidR="00545415" w:rsidRPr="00545415">
        <w:rPr>
          <w:rFonts w:ascii="仿宋" w:eastAsia="仿宋" w:hAnsi="仿宋" w:cs="宋体" w:hint="eastAsia"/>
          <w:color w:val="333333"/>
          <w:kern w:val="0"/>
          <w:sz w:val="32"/>
          <w:szCs w:val="32"/>
        </w:rPr>
        <w:t>参与投挡的</w:t>
      </w:r>
      <w:proofErr w:type="gramEnd"/>
      <w:r w:rsidR="00545415" w:rsidRPr="00545415">
        <w:rPr>
          <w:rFonts w:ascii="仿宋" w:eastAsia="仿宋" w:hAnsi="仿宋" w:cs="宋体" w:hint="eastAsia"/>
          <w:color w:val="333333"/>
          <w:kern w:val="0"/>
          <w:sz w:val="32"/>
          <w:szCs w:val="32"/>
        </w:rPr>
        <w:t>；</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（8）资质到期未续展机具参与投档的；</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（9）无资质机具参与投档的。</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2.报告主体：补贴机具投档责任处室。</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3.报告要求：补贴机具投档过程中出现异常情形时，负责投档工作的业务处室应及时按照相关文件、会议精神要求，进行分析，判断异常情形是否属于违规行为，并提出相应的处理意见。轻微问题、个别问题商负责补贴工作的业务处室后，报分管领导批准；严重问题、涉及多企业问题，上报补贴工作领导小组，经研究决定后呈报农业农村部。</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（二）机具核验</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1.主要内容：购机者身份、购机发票、补贴机具等是否符合</w:t>
      </w:r>
      <w:r w:rsidR="00545415" w:rsidRPr="00545415">
        <w:rPr>
          <w:rFonts w:ascii="仿宋" w:eastAsia="仿宋" w:hAnsi="仿宋" w:cs="宋体" w:hint="eastAsia"/>
          <w:color w:val="333333"/>
          <w:kern w:val="0"/>
          <w:sz w:val="32"/>
          <w:szCs w:val="32"/>
        </w:rPr>
        <w:lastRenderedPageBreak/>
        <w:t>规定要求，申请材料和补贴实物是否一致，补贴机具使用情况，补贴资金兑付等。</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2.报告主体：县级农机主管部门。</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3.报告要求：县级农机主管部门在机具核验过程中收集相关材料，及时将异常情形和处理建议报告市级农机主管部门，市级农机主管部门汇总整理，在职责范围内进行处理答复，必要时报告省农机中心研究处理。</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（三）政策实施</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1.主要内容：含补贴申请、日常监督管理、违规查处等内容。加强对单人多台套、短期内大批量、同人连年购置同类机具、区域适应性差的机具购置、购置与自身从事的农业生产无直接关系的机具、机具长期闲置不用、投诉较多、周边地区已</w:t>
      </w:r>
      <w:proofErr w:type="gramStart"/>
      <w:r w:rsidR="00545415" w:rsidRPr="00545415">
        <w:rPr>
          <w:rFonts w:ascii="仿宋" w:eastAsia="仿宋" w:hAnsi="仿宋" w:cs="宋体" w:hint="eastAsia"/>
          <w:color w:val="333333"/>
          <w:kern w:val="0"/>
          <w:sz w:val="32"/>
          <w:szCs w:val="32"/>
        </w:rPr>
        <w:t>作出</w:t>
      </w:r>
      <w:proofErr w:type="gramEnd"/>
      <w:r w:rsidR="00545415" w:rsidRPr="00545415">
        <w:rPr>
          <w:rFonts w:ascii="仿宋" w:eastAsia="仿宋" w:hAnsi="仿宋" w:cs="宋体" w:hint="eastAsia"/>
          <w:color w:val="333333"/>
          <w:kern w:val="0"/>
          <w:sz w:val="32"/>
          <w:szCs w:val="32"/>
        </w:rPr>
        <w:t>处理等异常情形的核查上报。</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2.报告主体：市县农机主管部门、农机生产企业、经销企业及购机户等。</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3.报告要求：县级农机主管部门对在补贴申请、日常监督管理、违规查处等过程中发现的异常情形进行收集，及时将异常情形的表现形式及处理建议报告市级农机主管部门，市级农机主管部门汇总整理，在职责范围内进行处理答复，必要时报告省农机中心研究处理；农机生产企业和经销企业发现影响补贴政策实施的异常情况，应主动报告当地农机主管部门，及时采取防范补救措施，加强整改；鼓励购机户对补贴</w:t>
      </w:r>
      <w:r w:rsidR="00545415" w:rsidRPr="00545415">
        <w:rPr>
          <w:rFonts w:ascii="仿宋" w:eastAsia="仿宋" w:hAnsi="仿宋" w:cs="宋体" w:hint="eastAsia"/>
          <w:color w:val="333333"/>
          <w:kern w:val="0"/>
          <w:sz w:val="32"/>
          <w:szCs w:val="32"/>
        </w:rPr>
        <w:lastRenderedPageBreak/>
        <w:t>实施过程中异常情形进行报告，并对报告证明属实的购机户予以适当形式的奖励。</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（四）机具鉴定（认证）</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1.主要内容：农机生产企业提供的申请材料、采信报告等是否属实、符合规定要求。</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2.报告主体：试验鉴定处。</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3.报告要求：试验鉴定处负责收集申请、试验过程中异常情形的相关材料，及时将异常情形和处理建议报告省农机中心和农业农村厅，视情况报告农业农村部。</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b/>
          <w:bCs/>
          <w:color w:val="333333"/>
          <w:kern w:val="0"/>
          <w:sz w:val="32"/>
          <w:szCs w:val="32"/>
        </w:rPr>
        <w:t>第三章</w:t>
      </w:r>
      <w:r w:rsidR="00545415" w:rsidRPr="00545415">
        <w:rPr>
          <w:rFonts w:ascii="微软雅黑" w:eastAsia="微软雅黑" w:hAnsi="微软雅黑" w:cs="宋体" w:hint="eastAsia"/>
          <w:b/>
          <w:bCs/>
          <w:color w:val="333333"/>
          <w:kern w:val="0"/>
          <w:szCs w:val="21"/>
        </w:rPr>
        <w:t>  </w:t>
      </w:r>
      <w:r w:rsidR="00545415" w:rsidRPr="00545415">
        <w:rPr>
          <w:rFonts w:ascii="仿宋" w:eastAsia="仿宋" w:hAnsi="仿宋" w:cs="宋体" w:hint="eastAsia"/>
          <w:b/>
          <w:bCs/>
          <w:color w:val="333333"/>
          <w:kern w:val="0"/>
          <w:sz w:val="32"/>
          <w:szCs w:val="32"/>
        </w:rPr>
        <w:t>相关要求</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第六条</w:t>
      </w:r>
      <w:r w:rsidR="00545415" w:rsidRPr="00545415">
        <w:rPr>
          <w:rFonts w:ascii="Calibri" w:eastAsia="微软雅黑" w:hAnsi="Calibri" w:cs="宋体"/>
          <w:color w:val="333333"/>
          <w:kern w:val="0"/>
          <w:szCs w:val="21"/>
        </w:rPr>
        <w:t> </w:t>
      </w:r>
      <w:r w:rsidR="00545415" w:rsidRPr="00545415">
        <w:rPr>
          <w:rFonts w:ascii="仿宋" w:eastAsia="仿宋" w:hAnsi="仿宋" w:cs="宋体" w:hint="eastAsia"/>
          <w:color w:val="333333"/>
          <w:kern w:val="0"/>
          <w:sz w:val="32"/>
          <w:szCs w:val="32"/>
        </w:rPr>
        <w:t>异常情形报告制度有助于将违规行为消灭于萌芽状态，对补贴风险防控至关重要，这同时对补贴工作人员提出了更高要求，市县农机主管部门要选配责任心强、业务素质高、作风优良的干部从事补贴工作，对其定期开展廉洁从政、业务技能等方面的教育培训，提升政策实施和风险防控能力。</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b/>
          <w:bCs/>
          <w:color w:val="333333"/>
          <w:kern w:val="0"/>
          <w:sz w:val="32"/>
          <w:szCs w:val="32"/>
        </w:rPr>
        <w:t>第四章</w:t>
      </w:r>
      <w:r w:rsidR="00545415" w:rsidRPr="00545415">
        <w:rPr>
          <w:rFonts w:ascii="微软雅黑" w:eastAsia="微软雅黑" w:hAnsi="微软雅黑" w:cs="宋体" w:hint="eastAsia"/>
          <w:b/>
          <w:bCs/>
          <w:color w:val="333333"/>
          <w:kern w:val="0"/>
          <w:szCs w:val="21"/>
        </w:rPr>
        <w:t>  </w:t>
      </w:r>
      <w:r w:rsidR="00545415" w:rsidRPr="00545415">
        <w:rPr>
          <w:rFonts w:ascii="仿宋" w:eastAsia="仿宋" w:hAnsi="仿宋" w:cs="宋体" w:hint="eastAsia"/>
          <w:b/>
          <w:bCs/>
          <w:color w:val="333333"/>
          <w:kern w:val="0"/>
          <w:sz w:val="32"/>
          <w:szCs w:val="32"/>
        </w:rPr>
        <w:t>附则</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第七条</w:t>
      </w:r>
      <w:r w:rsidR="00545415" w:rsidRPr="00545415">
        <w:rPr>
          <w:rFonts w:ascii="宋体" w:eastAsia="宋体" w:hAnsi="宋体" w:cs="宋体" w:hint="eastAsia"/>
          <w:color w:val="333333"/>
          <w:kern w:val="0"/>
          <w:sz w:val="32"/>
          <w:szCs w:val="32"/>
        </w:rPr>
        <w:t> </w:t>
      </w:r>
      <w:r w:rsidR="00545415" w:rsidRPr="00545415">
        <w:rPr>
          <w:rFonts w:ascii="Calibri" w:eastAsia="微软雅黑" w:hAnsi="Calibri" w:cs="宋体"/>
          <w:color w:val="333333"/>
          <w:kern w:val="0"/>
          <w:szCs w:val="21"/>
        </w:rPr>
        <w:t> </w:t>
      </w:r>
      <w:r w:rsidR="00545415" w:rsidRPr="00545415">
        <w:rPr>
          <w:rFonts w:ascii="仿宋" w:eastAsia="仿宋" w:hAnsi="仿宋" w:cs="宋体" w:hint="eastAsia"/>
          <w:color w:val="333333"/>
          <w:kern w:val="0"/>
          <w:sz w:val="32"/>
          <w:szCs w:val="32"/>
        </w:rPr>
        <w:t>本制度由省农业机械技术中心负责解释。各地可根据本制度，制定本辖区农机购置补贴异常情形报告制度细则。</w:t>
      </w:r>
      <w:r w:rsidR="00545415" w:rsidRPr="00545415">
        <w:rPr>
          <w:rFonts w:ascii="Verdana" w:eastAsia="微软雅黑" w:hAnsi="Verdana" w:cs="宋体"/>
          <w:color w:val="333333"/>
          <w:kern w:val="0"/>
          <w:szCs w:val="21"/>
        </w:rPr>
        <w:br/>
      </w:r>
      <w:r w:rsidR="00545415" w:rsidRPr="00545415">
        <w:rPr>
          <w:rFonts w:ascii="仿宋" w:eastAsia="仿宋" w:hAnsi="仿宋" w:cs="宋体" w:hint="eastAsia"/>
          <w:color w:val="333333"/>
          <w:kern w:val="0"/>
          <w:sz w:val="32"/>
          <w:szCs w:val="32"/>
        </w:rPr>
        <w:t>第八条</w:t>
      </w:r>
      <w:r w:rsidR="00545415" w:rsidRPr="00545415">
        <w:rPr>
          <w:rFonts w:ascii="Calibri" w:eastAsia="微软雅黑" w:hAnsi="Calibri" w:cs="宋体"/>
          <w:color w:val="333333"/>
          <w:kern w:val="0"/>
          <w:szCs w:val="21"/>
        </w:rPr>
        <w:t>  </w:t>
      </w:r>
      <w:r w:rsidR="00545415" w:rsidRPr="00545415">
        <w:rPr>
          <w:rFonts w:ascii="仿宋" w:eastAsia="仿宋" w:hAnsi="仿宋" w:cs="宋体" w:hint="eastAsia"/>
          <w:color w:val="333333"/>
          <w:kern w:val="0"/>
          <w:sz w:val="32"/>
          <w:szCs w:val="32"/>
        </w:rPr>
        <w:t>本制度自发布之日起施行。以往相关规定与本制度不一致的，以本制度为准。</w:t>
      </w:r>
      <w:r w:rsidR="00545415" w:rsidRPr="00545415">
        <w:rPr>
          <w:rFonts w:ascii="Verdana" w:eastAsia="宋体" w:hAnsi="Verdana" w:cs="宋体"/>
          <w:color w:val="333333"/>
          <w:kern w:val="0"/>
          <w:szCs w:val="21"/>
        </w:rPr>
        <w:br/>
        <w:t> </w:t>
      </w:r>
    </w:p>
    <w:sectPr w:rsidR="009A5198" w:rsidRPr="001036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A9F" w:rsidRDefault="00ED1A9F" w:rsidP="007C62B8">
      <w:r>
        <w:separator/>
      </w:r>
    </w:p>
  </w:endnote>
  <w:endnote w:type="continuationSeparator" w:id="0">
    <w:p w:rsidR="00ED1A9F" w:rsidRDefault="00ED1A9F" w:rsidP="007C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A9F" w:rsidRDefault="00ED1A9F" w:rsidP="007C62B8">
      <w:r>
        <w:separator/>
      </w:r>
    </w:p>
  </w:footnote>
  <w:footnote w:type="continuationSeparator" w:id="0">
    <w:p w:rsidR="00ED1A9F" w:rsidRDefault="00ED1A9F" w:rsidP="007C6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15"/>
    <w:rsid w:val="00004E34"/>
    <w:rsid w:val="001036F8"/>
    <w:rsid w:val="001B6243"/>
    <w:rsid w:val="00545415"/>
    <w:rsid w:val="00551EF4"/>
    <w:rsid w:val="007C62B8"/>
    <w:rsid w:val="009A5198"/>
    <w:rsid w:val="00ED1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62B8"/>
    <w:rPr>
      <w:sz w:val="18"/>
      <w:szCs w:val="18"/>
    </w:rPr>
  </w:style>
  <w:style w:type="paragraph" w:styleId="a4">
    <w:name w:val="footer"/>
    <w:basedOn w:val="a"/>
    <w:link w:val="Char0"/>
    <w:uiPriority w:val="99"/>
    <w:unhideWhenUsed/>
    <w:rsid w:val="007C62B8"/>
    <w:pPr>
      <w:tabs>
        <w:tab w:val="center" w:pos="4153"/>
        <w:tab w:val="right" w:pos="8306"/>
      </w:tabs>
      <w:snapToGrid w:val="0"/>
      <w:jc w:val="left"/>
    </w:pPr>
    <w:rPr>
      <w:sz w:val="18"/>
      <w:szCs w:val="18"/>
    </w:rPr>
  </w:style>
  <w:style w:type="character" w:customStyle="1" w:styleId="Char0">
    <w:name w:val="页脚 Char"/>
    <w:basedOn w:val="a0"/>
    <w:link w:val="a4"/>
    <w:uiPriority w:val="99"/>
    <w:rsid w:val="007C62B8"/>
    <w:rPr>
      <w:sz w:val="18"/>
      <w:szCs w:val="18"/>
    </w:rPr>
  </w:style>
  <w:style w:type="character" w:styleId="a5">
    <w:name w:val="Strong"/>
    <w:basedOn w:val="a0"/>
    <w:uiPriority w:val="22"/>
    <w:qFormat/>
    <w:rsid w:val="007C62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62B8"/>
    <w:rPr>
      <w:sz w:val="18"/>
      <w:szCs w:val="18"/>
    </w:rPr>
  </w:style>
  <w:style w:type="paragraph" w:styleId="a4">
    <w:name w:val="footer"/>
    <w:basedOn w:val="a"/>
    <w:link w:val="Char0"/>
    <w:uiPriority w:val="99"/>
    <w:unhideWhenUsed/>
    <w:rsid w:val="007C62B8"/>
    <w:pPr>
      <w:tabs>
        <w:tab w:val="center" w:pos="4153"/>
        <w:tab w:val="right" w:pos="8306"/>
      </w:tabs>
      <w:snapToGrid w:val="0"/>
      <w:jc w:val="left"/>
    </w:pPr>
    <w:rPr>
      <w:sz w:val="18"/>
      <w:szCs w:val="18"/>
    </w:rPr>
  </w:style>
  <w:style w:type="character" w:customStyle="1" w:styleId="Char0">
    <w:name w:val="页脚 Char"/>
    <w:basedOn w:val="a0"/>
    <w:link w:val="a4"/>
    <w:uiPriority w:val="99"/>
    <w:rsid w:val="007C62B8"/>
    <w:rPr>
      <w:sz w:val="18"/>
      <w:szCs w:val="18"/>
    </w:rPr>
  </w:style>
  <w:style w:type="character" w:styleId="a5">
    <w:name w:val="Strong"/>
    <w:basedOn w:val="a0"/>
    <w:uiPriority w:val="22"/>
    <w:qFormat/>
    <w:rsid w:val="007C6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9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270</Words>
  <Characters>1545</Characters>
  <Application>Microsoft Office Word</Application>
  <DocSecurity>0</DocSecurity>
  <Lines>12</Lines>
  <Paragraphs>3</Paragraphs>
  <ScaleCrop>false</ScaleCrop>
  <Company>china</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2023-01-11T02:37:00Z</dcterms:created>
  <dcterms:modified xsi:type="dcterms:W3CDTF">2023-01-11T07:01:00Z</dcterms:modified>
</cp:coreProperties>
</file>