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40"/>
        </w:rPr>
      </w:pPr>
      <w:r>
        <w:rPr>
          <w:rFonts w:hint="eastAsia" w:ascii="方正小标宋简体" w:eastAsia="方正小标宋简体"/>
          <w:sz w:val="40"/>
          <w:szCs w:val="40"/>
        </w:rPr>
        <w:t>浚县</w:t>
      </w:r>
      <w:r>
        <w:rPr>
          <w:rFonts w:hint="eastAsia" w:ascii="方正小标宋简体" w:eastAsia="方正小标宋简体"/>
          <w:sz w:val="40"/>
          <w:szCs w:val="40"/>
          <w:lang w:val="en-US" w:eastAsia="zh-CN"/>
        </w:rPr>
        <w:t>2022年</w:t>
      </w:r>
      <w:r>
        <w:rPr>
          <w:rFonts w:hint="eastAsia" w:ascii="方正小标宋简体" w:eastAsia="方正小标宋简体"/>
          <w:sz w:val="40"/>
          <w:szCs w:val="40"/>
        </w:rPr>
        <w:t>农业机械报废更新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40"/>
        </w:rPr>
      </w:pPr>
      <w:r>
        <w:rPr>
          <w:rFonts w:hint="eastAsia" w:ascii="方正小标宋简体" w:eastAsia="方正小标宋简体"/>
          <w:sz w:val="40"/>
          <w:szCs w:val="40"/>
        </w:rPr>
        <w:t>补贴实施方案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为贯彻落实河南省农业农村厅、河南省财政厅、河南省商务厅《农业机械报废更新补贴实施方案》（豫农〔2020〕216号）要求，切实做好我县农业机械报废更新补贴工作，制定本实施方案。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二、实施范围和补贴对象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农机报废更新补贴政策在全县范围内实施，资金从上级财政分配我县的中央农机购置补贴资金中安排。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三、报废补贴种类及条件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（一）补贴种类。</w:t>
      </w:r>
      <w:r>
        <w:rPr>
          <w:rFonts w:hint="eastAsia" w:ascii="仿宋_GB2312" w:eastAsia="仿宋_GB2312"/>
          <w:sz w:val="32"/>
          <w:szCs w:val="32"/>
        </w:rPr>
        <w:t>我县补贴报废农机种类为拖拉机、联合收割机、水稻插秧机、玉米脱粒机、花生摘果机、饲料（草）粉碎机、铡草机。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（二）报废条件。</w:t>
      </w:r>
      <w:r>
        <w:rPr>
          <w:rFonts w:hint="eastAsia" w:ascii="仿宋_GB2312" w:eastAsia="仿宋_GB2312"/>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符合下列条件之一的拖拉机、联合收割机、水稻插秧机、玉米脱粒机、花生摘果机、饲料（草）粉碎机、铡草机即可申请办理报废手续：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玉米脱粒机报废年限为8年、花生摘果机报废年限为8年、饲料（草）粉碎机报废年限为10年、铡草机报废年限为10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2、使用年限或累计工作时间不足，经过检查调整或更换易损件后仍然达不到规定技术要求的；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3、由于各种原因造成严重损坏、无法修复的；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4、预计大修费用大于同类新产品50%的；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5、未达到报废年限，但技术状况差且无配件来源的；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6、国家明令淘汰的。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中央财政农机报废更新补贴由报废部分补贴与更新部分补贴两部分构成。报废部分补贴实行定额补贴，补贴额（详见附件1）。更新部分补贴标准按我省农机购置补贴政策执行。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五、回收企业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县农业机械管理</w:t>
      </w:r>
      <w:r>
        <w:rPr>
          <w:rFonts w:hint="eastAsia" w:ascii="仿宋_GB2312" w:eastAsia="仿宋_GB2312"/>
          <w:sz w:val="32"/>
          <w:szCs w:val="32"/>
          <w:lang w:eastAsia="zh-CN"/>
        </w:rPr>
        <w:t>部门</w:t>
      </w:r>
      <w:r>
        <w:rPr>
          <w:rFonts w:hint="eastAsia" w:ascii="仿宋_GB2312" w:eastAsia="仿宋_GB2312"/>
          <w:sz w:val="32"/>
          <w:szCs w:val="32"/>
        </w:rPr>
        <w:t>提出申请，县农业机械管理</w:t>
      </w:r>
      <w:r>
        <w:rPr>
          <w:rFonts w:hint="eastAsia" w:ascii="仿宋_GB2312" w:eastAsia="仿宋_GB2312"/>
          <w:sz w:val="32"/>
          <w:szCs w:val="32"/>
          <w:lang w:eastAsia="zh-CN"/>
        </w:rPr>
        <w:t>部门</w:t>
      </w:r>
      <w:r>
        <w:rPr>
          <w:rFonts w:hint="eastAsia" w:ascii="仿宋_GB2312" w:eastAsia="仿宋_GB2312"/>
          <w:sz w:val="32"/>
          <w:szCs w:val="32"/>
        </w:rPr>
        <w:t>现场核验同意后，报市级农业机械化主管部门备案并通过市媒体和农机购置补贴信息专栏向社会公布。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六、操作程序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方正楷体简体" w:hAnsi="方正楷体简体" w:eastAsia="方正楷体简体" w:cs="方正楷体简体"/>
          <w:sz w:val="32"/>
          <w:szCs w:val="32"/>
        </w:rPr>
        <w:t>（一）报废旧机。</w:t>
      </w:r>
      <w:r>
        <w:rPr>
          <w:rFonts w:hint="eastAsia" w:ascii="仿宋_GB2312" w:eastAsia="仿宋_GB2312"/>
          <w:sz w:val="32"/>
          <w:szCs w:val="32"/>
        </w:rPr>
        <w:t>机主自愿将拟报废的农机交售给经公布的回收企业，报废农机残值由回收企业与机主按照公平自愿原则商定。回收企业应当核对机主和拟报废的农机信息，向机主出具《报废农业机械回收确认表（样式）》（见附件2，以下简称《确认表》），向县农业机械化管理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农业机械化管理部门对辖区内回收企业拆解或者销毁农机进行监督，回收企业要留存好拆前、拆中、拆后照片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（二）注销登记。</w:t>
      </w:r>
      <w:r>
        <w:rPr>
          <w:rFonts w:hint="eastAsia" w:ascii="仿宋_GB2312" w:eastAsia="仿宋_GB2312"/>
          <w:sz w:val="32"/>
          <w:szCs w:val="32"/>
        </w:rPr>
        <w:t>纳入牌证管理的拖拉机和联合收割机机主，持《确认表》和相关证照，到浚县农机监理部门依法办理牌证注销手续。农机监理部门核对机主和报废农机信息后，在《确认表》上签注“已办理注销登记”字样。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（三）兑现补贴。</w:t>
      </w:r>
      <w:r>
        <w:rPr>
          <w:rFonts w:hint="eastAsia" w:ascii="仿宋_GB2312" w:eastAsia="仿宋_GB2312"/>
          <w:sz w:val="32"/>
          <w:szCs w:val="32"/>
        </w:rPr>
        <w:t>机主凭有效的《确认表》，按照规定申请补贴，县农业机械化管理部门受理后负责对申请资料进行审核。财政部门向符合要求的机主兑现补贴资金，拖拉机、联合收割机牌证齐全并办理注销登记的优先。年度内每个人享受报废补贴的农机数量不超过3台，农业生产经营组织年度内享受报废补贴的农机数量不超过10台。年度内报废补贴机具总量不超过购置补贴机具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（一）加强组织领导</w:t>
      </w:r>
      <w:r>
        <w:rPr>
          <w:rFonts w:hint="eastAsia" w:ascii="仿宋_GB2312" w:eastAsia="仿宋_GB2312"/>
          <w:sz w:val="32"/>
          <w:szCs w:val="32"/>
        </w:rPr>
        <w:t>。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（二）推行便民服务</w:t>
      </w:r>
      <w:r>
        <w:rPr>
          <w:rFonts w:hint="eastAsia" w:ascii="仿宋_GB2312" w:eastAsia="仿宋_GB2312"/>
          <w:sz w:val="32"/>
          <w:szCs w:val="32"/>
        </w:rPr>
        <w:t>。要强化服务意识，创新工作方式，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方正楷体简体" w:hAnsi="方正楷体简体" w:eastAsia="方正楷体简体" w:cs="方正楷体简体"/>
          <w:sz w:val="32"/>
          <w:szCs w:val="32"/>
        </w:rPr>
        <w:t>（三）强化监督管理</w:t>
      </w:r>
      <w:r>
        <w:rPr>
          <w:rFonts w:hint="eastAsia" w:ascii="仿宋_GB2312" w:eastAsia="仿宋_GB2312"/>
          <w:sz w:val="32"/>
          <w:szCs w:val="32"/>
        </w:rPr>
        <w:t>。农机报废更新补贴实施已纳入农机购置补贴延伸绩效管理考核内容，按照各自职责加强对农机报废更新补贴工作的监管。农机报废更新补贴工作是农机购置补贴一项重要内容，要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keepNext w:val="0"/>
        <w:keepLines w:val="0"/>
        <w:pageBreakBefore w:val="0"/>
        <w:widowControl w:val="0"/>
        <w:kinsoku/>
        <w:wordWrap/>
        <w:overflowPunct/>
        <w:topLinePunct w:val="0"/>
        <w:autoSpaceDE/>
        <w:autoSpaceDN/>
        <w:bidi w:val="0"/>
        <w:adjustRightInd/>
        <w:snapToGrid/>
        <w:spacing w:line="560" w:lineRule="exact"/>
        <w:ind w:left="6066" w:leftChars="2736" w:hanging="320" w:hangingChars="1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066" w:leftChars="2736" w:hanging="320" w:hangingChars="1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浚县农业农村局2022年3月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附件：1.农机报废更新补贴额一览表.docx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 xml:space="preserve">2.报废农业机械回收确认表（样式）.docx </w:t>
      </w:r>
    </w:p>
    <w:p>
      <w:pPr>
        <w:keepNext w:val="0"/>
        <w:keepLines w:val="0"/>
        <w:pageBreakBefore w:val="0"/>
        <w:widowControl w:val="0"/>
        <w:kinsoku/>
        <w:wordWrap/>
        <w:overflowPunct/>
        <w:topLinePunct w:val="0"/>
        <w:autoSpaceDE/>
        <w:autoSpaceDN/>
        <w:bidi w:val="0"/>
        <w:adjustRightInd/>
        <w:snapToGrid/>
        <w:spacing w:line="560" w:lineRule="exact"/>
        <w:ind w:firstLine="1440" w:firstLineChars="450"/>
        <w:textAlignment w:val="auto"/>
        <w:rPr>
          <w:rFonts w:hint="eastAsia" w:ascii="仿宋_GB2312" w:eastAsia="仿宋_GB2312"/>
          <w:sz w:val="32"/>
          <w:szCs w:val="32"/>
        </w:rPr>
      </w:pPr>
      <w:r>
        <w:rPr>
          <w:rFonts w:hint="eastAsia" w:ascii="仿宋_GB2312" w:eastAsia="仿宋_GB2312"/>
          <w:sz w:val="32"/>
          <w:szCs w:val="32"/>
        </w:rPr>
        <w:t xml:space="preserve"> 3.申请书（样式）.docx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 xml:space="preserve">4.承诺书（样式）.docx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00" w:firstLineChars="500"/>
        <w:textAlignment w:val="auto"/>
        <w:rPr>
          <w:rFonts w:hint="eastAsia" w:ascii="仿宋_GB2312" w:eastAsia="仿宋_GB2312"/>
          <w:sz w:val="50"/>
          <w:szCs w:val="50"/>
        </w:rPr>
      </w:pPr>
    </w:p>
    <w:p>
      <w:pPr>
        <w:keepNext w:val="0"/>
        <w:keepLines w:val="0"/>
        <w:pageBreakBefore w:val="0"/>
        <w:widowControl w:val="0"/>
        <w:kinsoku/>
        <w:wordWrap/>
        <w:overflowPunct/>
        <w:topLinePunct w:val="0"/>
        <w:autoSpaceDE/>
        <w:autoSpaceDN/>
        <w:bidi w:val="0"/>
        <w:adjustRightInd/>
        <w:snapToGrid/>
        <w:spacing w:line="800" w:lineRule="exact"/>
        <w:ind w:firstLine="2500" w:firstLineChars="500"/>
        <w:textAlignment w:val="auto"/>
        <w:rPr>
          <w:rFonts w:hint="eastAsia" w:ascii="仿宋_GB2312" w:eastAsia="仿宋_GB2312"/>
          <w:sz w:val="50"/>
          <w:szCs w:val="50"/>
        </w:rPr>
      </w:pPr>
    </w:p>
    <w:p>
      <w:pPr>
        <w:keepNext w:val="0"/>
        <w:keepLines w:val="0"/>
        <w:pageBreakBefore w:val="0"/>
        <w:widowControl w:val="0"/>
        <w:kinsoku/>
        <w:wordWrap/>
        <w:overflowPunct/>
        <w:topLinePunct w:val="0"/>
        <w:autoSpaceDE/>
        <w:autoSpaceDN/>
        <w:bidi w:val="0"/>
        <w:adjustRightInd/>
        <w:snapToGrid/>
        <w:spacing w:line="800" w:lineRule="exact"/>
        <w:ind w:firstLine="2500" w:firstLineChars="500"/>
        <w:textAlignment w:val="auto"/>
        <w:rPr>
          <w:rFonts w:hint="eastAsia" w:ascii="仿宋_GB2312" w:eastAsia="仿宋_GB2312"/>
          <w:sz w:val="50"/>
          <w:szCs w:val="50"/>
        </w:rPr>
      </w:pPr>
    </w:p>
    <w:p>
      <w:pPr>
        <w:keepNext w:val="0"/>
        <w:keepLines w:val="0"/>
        <w:pageBreakBefore w:val="0"/>
        <w:widowControl w:val="0"/>
        <w:kinsoku/>
        <w:wordWrap/>
        <w:overflowPunct/>
        <w:topLinePunct w:val="0"/>
        <w:autoSpaceDE/>
        <w:autoSpaceDN/>
        <w:bidi w:val="0"/>
        <w:adjustRightInd/>
        <w:snapToGrid/>
        <w:spacing w:line="800" w:lineRule="exact"/>
        <w:ind w:firstLine="2500" w:firstLineChars="500"/>
        <w:textAlignment w:val="auto"/>
        <w:rPr>
          <w:rFonts w:hint="eastAsia" w:ascii="仿宋_GB2312" w:eastAsia="仿宋_GB2312"/>
          <w:sz w:val="50"/>
          <w:szCs w:val="50"/>
        </w:rPr>
      </w:pPr>
    </w:p>
    <w:p>
      <w:pPr>
        <w:keepNext w:val="0"/>
        <w:keepLines w:val="0"/>
        <w:pageBreakBefore w:val="0"/>
        <w:widowControl w:val="0"/>
        <w:kinsoku/>
        <w:wordWrap/>
        <w:overflowPunct/>
        <w:topLinePunct w:val="0"/>
        <w:autoSpaceDE/>
        <w:autoSpaceDN/>
        <w:bidi w:val="0"/>
        <w:adjustRightInd/>
        <w:snapToGrid/>
        <w:spacing w:line="800" w:lineRule="exact"/>
        <w:ind w:firstLine="2500" w:firstLineChars="500"/>
        <w:textAlignment w:val="auto"/>
        <w:rPr>
          <w:rFonts w:hint="eastAsia" w:ascii="仿宋_GB2312" w:eastAsia="仿宋_GB2312"/>
          <w:sz w:val="50"/>
          <w:szCs w:val="50"/>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p>
    <w:p>
      <w:pPr>
        <w:widowControl/>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农机报废更新补贴额一览表</w:t>
      </w:r>
    </w:p>
    <w:p>
      <w:pPr>
        <w:rPr>
          <w:rFonts w:ascii="仿宋_GB2312" w:hAnsi="仿宋"/>
          <w:sz w:val="24"/>
        </w:rPr>
      </w:pPr>
    </w:p>
    <w:tbl>
      <w:tblPr>
        <w:tblStyle w:val="2"/>
        <w:tblW w:w="8834" w:type="dxa"/>
        <w:tblInd w:w="0" w:type="dxa"/>
        <w:tblLayout w:type="fixed"/>
        <w:tblCellMar>
          <w:top w:w="0" w:type="dxa"/>
          <w:left w:w="0" w:type="dxa"/>
          <w:bottom w:w="0" w:type="dxa"/>
          <w:right w:w="0" w:type="dxa"/>
        </w:tblCellMar>
      </w:tblPr>
      <w:tblGrid>
        <w:gridCol w:w="441"/>
        <w:gridCol w:w="567"/>
        <w:gridCol w:w="2551"/>
        <w:gridCol w:w="3402"/>
        <w:gridCol w:w="1873"/>
      </w:tblGrid>
      <w:tr>
        <w:tblPrEx>
          <w:tblCellMar>
            <w:top w:w="0" w:type="dxa"/>
            <w:left w:w="0" w:type="dxa"/>
            <w:bottom w:w="0" w:type="dxa"/>
            <w:right w:w="0" w:type="dxa"/>
          </w:tblCellMar>
        </w:tblPrEx>
        <w:trPr>
          <w:trHeight w:val="751"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品目</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机型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基本配置和参数</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报废补贴额（元）</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拖拉机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20马力及以下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20马力＜功率≤50马力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50-80马力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50马力＜功率≤80马力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80-100马力</w:t>
            </w:r>
            <w:r>
              <w:rPr>
                <w:rFonts w:hint="eastAsia" w:ascii="宋体" w:hAnsi="宋体" w:cs="宋体"/>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80马力＜功率≤100马力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100马力以上</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12000</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联合收割机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0.5kg/s＜喂入量≤1kg/s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1kg/s＜喂入量≤3kg/s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3kg/s＜喂入量≤4kg/s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7300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11000</w:t>
            </w:r>
          </w:p>
        </w:tc>
      </w:tr>
      <w:tr>
        <w:tblPrEx>
          <w:tblCellMar>
            <w:top w:w="0" w:type="dxa"/>
            <w:left w:w="0" w:type="dxa"/>
            <w:bottom w:w="0" w:type="dxa"/>
            <w:right w:w="0" w:type="dxa"/>
          </w:tblCellMar>
        </w:tblPrEx>
        <w:trPr>
          <w:trHeight w:val="73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91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17500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7200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12500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20000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收获行数：1-2行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收获行数：3-4行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5500</w:t>
            </w:r>
          </w:p>
        </w:tc>
      </w:tr>
      <w:tr>
        <w:tblPrEx>
          <w:tblCellMar>
            <w:top w:w="0" w:type="dxa"/>
            <w:left w:w="0" w:type="dxa"/>
            <w:bottom w:w="0" w:type="dxa"/>
            <w:right w:w="0" w:type="dxa"/>
          </w:tblCellMar>
        </w:tblPrEx>
        <w:trPr>
          <w:trHeight w:val="28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3</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水稻插秧机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手扶步进式；2行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500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手扶步进式；4行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1200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6行及以上手扶步进式水稻插秧机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手扶步进式；6行及以上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1700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6行及以上独轮乘坐式水稻插秧机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独轮乘坐式；6行及以上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1000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四轮乘坐式；4行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3700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6-7行四轮乘坐式水稻插秧机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四轮乘坐式；6-7行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8行及以上四轮乘坐式水稻插秧机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四轮乘坐式；8行及以上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11000</w:t>
            </w:r>
          </w:p>
        </w:tc>
      </w:tr>
      <w:tr>
        <w:tblPrEx>
          <w:tblCellMar>
            <w:top w:w="0" w:type="dxa"/>
            <w:left w:w="0" w:type="dxa"/>
            <w:bottom w:w="0" w:type="dxa"/>
            <w:right w:w="0" w:type="dxa"/>
          </w:tblCellMar>
        </w:tblPrEx>
        <w:trPr>
          <w:trHeight w:val="61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饲料（草）粉碎机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400-550mm饲料粉碎机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400mm≤转子直径＜550mm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150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b/>
                <w:sz w:val="24"/>
              </w:rPr>
            </w:pPr>
          </w:p>
        </w:tc>
        <w:tc>
          <w:tcPr>
            <w:tcW w:w="567"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550mm及以上饲料粉碎机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300</w:t>
            </w:r>
          </w:p>
        </w:tc>
      </w:tr>
      <w:tr>
        <w:tblPrEx>
          <w:tblCellMar>
            <w:top w:w="0" w:type="dxa"/>
            <w:left w:w="0" w:type="dxa"/>
            <w:bottom w:w="0" w:type="dxa"/>
            <w:right w:w="0" w:type="dxa"/>
          </w:tblCellMar>
        </w:tblPrEx>
        <w:trPr>
          <w:trHeight w:val="285" w:hRule="atLeast"/>
        </w:trPr>
        <w:tc>
          <w:tcPr>
            <w:tcW w:w="44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5</w:t>
            </w:r>
          </w:p>
        </w:tc>
        <w:tc>
          <w:tcPr>
            <w:tcW w:w="56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玉米脱粒机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生产率10t/h及以上玉米脱粒机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生产率≥10t/h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700</w:t>
            </w:r>
          </w:p>
        </w:tc>
      </w:tr>
      <w:tr>
        <w:tblPrEx>
          <w:tblCellMar>
            <w:top w:w="0" w:type="dxa"/>
            <w:left w:w="0" w:type="dxa"/>
            <w:bottom w:w="0" w:type="dxa"/>
            <w:right w:w="0" w:type="dxa"/>
          </w:tblCellMar>
        </w:tblPrEx>
        <w:trPr>
          <w:trHeight w:val="540" w:hRule="atLeast"/>
        </w:trPr>
        <w:tc>
          <w:tcPr>
            <w:tcW w:w="4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sz w:val="24"/>
              </w:rPr>
            </w:pPr>
            <w:r>
              <w:rPr>
                <w:rFonts w:hint="eastAsia" w:ascii="宋体" w:hAnsi="宋体" w:cs="宋体"/>
                <w:b/>
                <w:sz w:val="24"/>
              </w:rPr>
              <w:t>6</w:t>
            </w:r>
          </w:p>
        </w:tc>
        <w:tc>
          <w:tcPr>
            <w:tcW w:w="5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r>
              <w:rPr>
                <w:rFonts w:hint="eastAsia" w:ascii="宋体" w:hAnsi="宋体" w:cs="宋体"/>
                <w:sz w:val="22"/>
                <w:szCs w:val="22"/>
              </w:rPr>
              <w:t>花生摘果机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配套动力7kW及以上，花生摘果机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花生摘果机，配套动力≥7kW</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400</w:t>
            </w:r>
          </w:p>
        </w:tc>
      </w:tr>
      <w:tr>
        <w:tblPrEx>
          <w:tblCellMar>
            <w:top w:w="0" w:type="dxa"/>
            <w:left w:w="0" w:type="dxa"/>
            <w:bottom w:w="0" w:type="dxa"/>
            <w:right w:w="0" w:type="dxa"/>
          </w:tblCellMar>
        </w:tblPrEx>
        <w:trPr>
          <w:trHeight w:val="676" w:hRule="atLeast"/>
        </w:trPr>
        <w:tc>
          <w:tcPr>
            <w:tcW w:w="44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7</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铡草机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6—9t/h铡草机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6t/h≤生产率＜9t/h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350</w:t>
            </w:r>
          </w:p>
        </w:tc>
      </w:tr>
      <w:tr>
        <w:tblPrEx>
          <w:tblCellMar>
            <w:top w:w="0" w:type="dxa"/>
            <w:left w:w="0" w:type="dxa"/>
            <w:bottom w:w="0" w:type="dxa"/>
            <w:right w:w="0" w:type="dxa"/>
          </w:tblCellMar>
        </w:tblPrEx>
        <w:trPr>
          <w:trHeight w:val="530"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9—15t/h铡草机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9t/h≤生产率＜15t/h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750</w:t>
            </w:r>
          </w:p>
        </w:tc>
      </w:tr>
      <w:tr>
        <w:tblPrEx>
          <w:tblCellMar>
            <w:top w:w="0" w:type="dxa"/>
            <w:left w:w="0" w:type="dxa"/>
            <w:bottom w:w="0" w:type="dxa"/>
            <w:right w:w="0" w:type="dxa"/>
          </w:tblCellMar>
        </w:tblPrEx>
        <w:trPr>
          <w:trHeight w:val="578"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15-20t/h铡草机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15t/h≤生产率＜20t/h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kern w:val="0"/>
                <w:sz w:val="24"/>
              </w:rPr>
              <w:t>850</w:t>
            </w:r>
          </w:p>
        </w:tc>
      </w:tr>
      <w:tr>
        <w:tblPrEx>
          <w:tblCellMar>
            <w:top w:w="0" w:type="dxa"/>
            <w:left w:w="0" w:type="dxa"/>
            <w:bottom w:w="0" w:type="dxa"/>
            <w:right w:w="0" w:type="dxa"/>
          </w:tblCellMar>
        </w:tblPrEx>
        <w:trPr>
          <w:trHeight w:val="578" w:hRule="atLeast"/>
        </w:trPr>
        <w:tc>
          <w:tcPr>
            <w:tcW w:w="441"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20t/h及以上铡草机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kern w:val="0"/>
                <w:sz w:val="24"/>
              </w:rPr>
            </w:pPr>
            <w:r>
              <w:rPr>
                <w:rFonts w:hint="eastAsia" w:ascii="宋体" w:hAnsi="宋体" w:cs="宋体"/>
                <w:b/>
                <w:kern w:val="0"/>
                <w:sz w:val="24"/>
              </w:rPr>
              <w:t>2400</w:t>
            </w:r>
          </w:p>
        </w:tc>
      </w:tr>
    </w:tbl>
    <w:p>
      <w:pPr>
        <w:jc w:val="left"/>
        <w:rPr>
          <w:rFonts w:ascii="仿宋_GB2312"/>
          <w:sz w:val="30"/>
          <w:szCs w:val="30"/>
        </w:rPr>
      </w:pPr>
    </w:p>
    <w:p>
      <w:pPr>
        <w:jc w:val="left"/>
        <w:rPr>
          <w:rFonts w:ascii="仿宋_GB2312"/>
          <w:sz w:val="30"/>
          <w:szCs w:val="30"/>
        </w:rPr>
      </w:pPr>
    </w:p>
    <w:p>
      <w:pPr>
        <w:jc w:val="left"/>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附件2</w:t>
      </w:r>
    </w:p>
    <w:p>
      <w:pPr>
        <w:jc w:val="center"/>
        <w:rPr>
          <w:rFonts w:ascii="黑体" w:hAnsi="黑体" w:eastAsia="黑体"/>
          <w:sz w:val="30"/>
          <w:szCs w:val="30"/>
        </w:rPr>
      </w:pPr>
      <w:r>
        <w:rPr>
          <w:rFonts w:hint="eastAsia" w:ascii="黑体" w:hAnsi="黑体" w:eastAsia="黑体"/>
          <w:sz w:val="30"/>
          <w:szCs w:val="30"/>
        </w:rPr>
        <w:t>报废农业机械回收确认表（样式）</w:t>
      </w: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1800" w:firstLineChars="7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ind w:firstLine="480" w:firstLineChars="200"/>
        <w:jc w:val="left"/>
        <w:rPr>
          <w:rFonts w:ascii="宋体" w:hAnsi="宋体" w:cs="宋体"/>
          <w:b/>
          <w:sz w:val="24"/>
        </w:rPr>
      </w:pPr>
      <w:r>
        <w:rPr>
          <w:rFonts w:hint="eastAsia" w:ascii="宋体" w:hAnsi="宋体" w:cs="宋体"/>
          <w:sz w:val="24"/>
        </w:rPr>
        <w:t>说明：1.此表为样表，各地可结合实际，对表格的格式内容进行调整完善。2.本表一式三联：一联农机回收企业存查；二联机主存查；三联签注农机监理机构印章后，到主管部门办理申请补贴手续。</w:t>
      </w:r>
    </w:p>
    <w:p>
      <w:pPr>
        <w:jc w:val="center"/>
        <w:rPr>
          <w:b/>
          <w:bCs/>
          <w:sz w:val="48"/>
          <w:szCs w:val="56"/>
        </w:rPr>
      </w:pPr>
    </w:p>
    <w:p>
      <w:pPr>
        <w:spacing w:line="600" w:lineRule="exact"/>
        <w:rPr>
          <w:rFonts w:hint="eastAsia" w:asciiTheme="minorEastAsia" w:hAnsiTheme="minorEastAsia" w:eastAsiaTheme="minorEastAsia" w:cstheme="minorEastAsia"/>
          <w:color w:val="0D0D0D"/>
          <w:sz w:val="32"/>
          <w:szCs w:val="32"/>
        </w:rPr>
      </w:pPr>
    </w:p>
    <w:p>
      <w:pPr>
        <w:spacing w:line="600" w:lineRule="exact"/>
        <w:rPr>
          <w:rFonts w:hint="eastAsia" w:asciiTheme="minorEastAsia" w:hAnsiTheme="minorEastAsia" w:eastAsiaTheme="minorEastAsia" w:cstheme="minorEastAsia"/>
          <w:color w:val="0D0D0D"/>
          <w:sz w:val="32"/>
          <w:szCs w:val="32"/>
        </w:rPr>
      </w:pPr>
    </w:p>
    <w:p>
      <w:pPr>
        <w:spacing w:line="600" w:lineRule="exact"/>
        <w:rPr>
          <w:rFonts w:hint="eastAsia" w:asciiTheme="minorEastAsia" w:hAnsiTheme="minorEastAsia" w:eastAsiaTheme="minorEastAsia" w:cstheme="minorEastAsia"/>
          <w:color w:val="0D0D0D"/>
          <w:sz w:val="32"/>
          <w:szCs w:val="32"/>
        </w:rPr>
      </w:pPr>
      <w:r>
        <w:rPr>
          <w:rFonts w:hint="eastAsia" w:asciiTheme="minorEastAsia" w:hAnsiTheme="minorEastAsia" w:eastAsiaTheme="minorEastAsia" w:cstheme="minorEastAsia"/>
          <w:color w:val="0D0D0D"/>
          <w:sz w:val="32"/>
          <w:szCs w:val="32"/>
        </w:rPr>
        <w:t>附件3</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4000" w:firstLineChars="125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w:t>
      </w:r>
      <w:r>
        <w:rPr>
          <w:rFonts w:hint="eastAsia" w:ascii="仿宋_GB2312" w:hAnsi="微软雅黑" w:eastAsia="仿宋_GB2312" w:cs="宋体"/>
          <w:color w:val="000000"/>
          <w:kern w:val="0"/>
          <w:sz w:val="32"/>
          <w:szCs w:val="32"/>
        </w:rPr>
        <w:t xml:space="preserve"> 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widowControl/>
        <w:wordWrap w:val="0"/>
        <w:spacing w:line="375" w:lineRule="atLeast"/>
        <w:ind w:firstLine="800" w:firstLineChars="25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2.各县（市、区）结合实际，可以对内容进行调整完善。</w:t>
      </w:r>
    </w:p>
    <w:p/>
    <w:p>
      <w:pPr>
        <w:spacing w:line="600" w:lineRule="exact"/>
        <w:rPr>
          <w:rFonts w:hint="eastAsia" w:asciiTheme="minorEastAsia" w:hAnsiTheme="minorEastAsia" w:eastAsiaTheme="minorEastAsia" w:cstheme="minorEastAsia"/>
          <w:color w:val="0D0D0D"/>
          <w:sz w:val="32"/>
          <w:szCs w:val="32"/>
        </w:rPr>
      </w:pPr>
    </w:p>
    <w:p>
      <w:pPr>
        <w:spacing w:line="600" w:lineRule="exact"/>
        <w:rPr>
          <w:rFonts w:hint="eastAsia" w:asciiTheme="minorEastAsia" w:hAnsiTheme="minorEastAsia" w:eastAsiaTheme="minorEastAsia" w:cstheme="minorEastAsia"/>
          <w:color w:val="0D0D0D"/>
          <w:sz w:val="32"/>
          <w:szCs w:val="32"/>
        </w:rPr>
      </w:pPr>
      <w:r>
        <w:rPr>
          <w:rFonts w:hint="eastAsia" w:asciiTheme="minorEastAsia" w:hAnsiTheme="minorEastAsia" w:eastAsiaTheme="minorEastAsia" w:cstheme="minorEastAsia"/>
          <w:color w:val="0D0D0D"/>
          <w:sz w:val="32"/>
          <w:szCs w:val="32"/>
        </w:rPr>
        <w:t>附件4</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承诺书（样式）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rPr>
          <w:rFonts w:ascii="仿宋" w:hAnsi="仿宋" w:eastAsia="仿宋"/>
          <w:color w:val="0D0D0D"/>
          <w:sz w:val="32"/>
          <w:szCs w:val="32"/>
        </w:rPr>
      </w:pPr>
    </w:p>
    <w:p>
      <w:pPr>
        <w:ind w:firstLine="320" w:firstLineChars="10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r>
        <w:rPr>
          <w:rFonts w:ascii="仿宋" w:hAnsi="仿宋" w:eastAsia="仿宋"/>
          <w:color w:val="0D0D0D"/>
          <w:sz w:val="32"/>
          <w:szCs w:val="32"/>
        </w:rPr>
        <w:t>村委会（签名加盖章）：</w:t>
      </w:r>
    </w:p>
    <w:p>
      <w:pPr>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1.无法提供购机发票者填写此承诺书，并请村委会予以证明。</w:t>
      </w:r>
    </w:p>
    <w:p>
      <w:pPr>
        <w:widowControl/>
        <w:wordWrap w:val="0"/>
        <w:spacing w:line="375" w:lineRule="atLeast"/>
        <w:ind w:firstLine="840" w:firstLineChars="300"/>
        <w:rPr>
          <w:rFonts w:ascii="仿宋_GB2312" w:hAnsi="宋体" w:eastAsia="仿宋_GB2312"/>
          <w:sz w:val="28"/>
          <w:szCs w:val="28"/>
        </w:rPr>
      </w:pPr>
      <w:r>
        <w:rPr>
          <w:rFonts w:hint="eastAsia" w:ascii="仿宋_GB2312" w:hAnsi="宋体" w:eastAsia="仿宋_GB2312" w:cs="宋体"/>
          <w:kern w:val="0"/>
          <w:sz w:val="28"/>
          <w:szCs w:val="28"/>
        </w:rPr>
        <w:t>2.各县（市、区）结合实际，可以对内容进行调整完善。</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jY1MzcxM2Y5ZDNiYTQ3NTgzMWI3Zjg3ZjU0NWMifQ=="/>
  </w:docVars>
  <w:rsids>
    <w:rsidRoot w:val="2F1D3119"/>
    <w:rsid w:val="2F1D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2022-06-21T08:27:00Z</dcterms:created>
  <dc:creator>柚子</dc:creator>
  <cp:lastModifiedBy>柚子</cp:lastModifiedBy>
  <dcterms:modified xsi:type="dcterms:W3CDTF">2022-06-21T08:37:07Z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E60D0FEE61774CB8869062AA3EA208C8</vt:lpwstr>
  </property>
</Properties>
</file>