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6"/>
          <w:szCs w:val="36"/>
          <w:lang w:eastAsia="zh-CN"/>
        </w:rPr>
        <w:t>湖滨区前三季度农机报废补贴情况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湖滨区前三季度加大农机报废补贴政策宣传，目前完成报废拖拉机</w:t>
      </w:r>
      <w:r>
        <w:rPr>
          <w:rFonts w:hint="eastAsia"/>
          <w:sz w:val="32"/>
          <w:szCs w:val="32"/>
          <w:lang w:val="en-US" w:eastAsia="zh-CN"/>
        </w:rPr>
        <w:t>2台，实施资金1.4万元，正在实施资金对付中。另有3台收割机正在于回收企业对接，预计近期完成。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2022年10月8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D154E"/>
    <w:rsid w:val="0D76529B"/>
    <w:rsid w:val="418C0C55"/>
    <w:rsid w:val="5BBD154E"/>
    <w:rsid w:val="6181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2022-10-08T02:07:00Z</dcterms:created>
  <dc:creator>红枫叶</dc:creator>
  <cp:lastModifiedBy>红枫叶</cp:lastModifiedBy>
  <dcterms:modified xsi:type="dcterms:W3CDTF">2022-10-08T02:33:17Z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110EF9085355440A866B6000AB87F3BF</vt:lpwstr>
  </property>
</Properties>
</file>