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val="0"/>
          <w:bCs w:val="0"/>
          <w:sz w:val="32"/>
          <w:szCs w:val="32"/>
          <w:lang w:val="en-US"/>
        </w:rPr>
      </w:pPr>
      <w:r>
        <w:rPr>
          <w:rFonts w:hint="eastAsia" w:ascii="仿宋" w:hAnsi="仿宋" w:eastAsia="仿宋" w:cs="仿宋"/>
          <w:b w:val="0"/>
          <w:bCs w:val="0"/>
          <w:sz w:val="36"/>
          <w:szCs w:val="36"/>
          <w:lang w:val="en-US" w:eastAsia="zh-CN"/>
        </w:rPr>
        <w:t>淇县农业农村局</w:t>
      </w:r>
    </w:p>
    <w:p>
      <w:pPr>
        <w:tabs>
          <w:tab w:val="left" w:pos="1445"/>
        </w:tabs>
        <w:spacing w:line="560" w:lineRule="exac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w:t>
      </w:r>
    </w:p>
    <w:p>
      <w:pPr>
        <w:tabs>
          <w:tab w:val="left" w:pos="1445"/>
        </w:tabs>
        <w:spacing w:line="560" w:lineRule="exact"/>
        <w:ind w:firstLine="720" w:firstLineChars="200"/>
        <w:rPr>
          <w:rFonts w:hint="eastAsia" w:ascii="仿宋" w:hAnsi="仿宋" w:eastAsia="仿宋" w:cs="仿宋"/>
          <w:b w:val="0"/>
          <w:bCs w:val="0"/>
          <w:kern w:val="0"/>
          <w:sz w:val="36"/>
          <w:szCs w:val="36"/>
        </w:rPr>
      </w:pPr>
      <w:r>
        <w:rPr>
          <w:rFonts w:hint="eastAsia" w:ascii="仿宋" w:hAnsi="仿宋" w:eastAsia="仿宋" w:cs="仿宋"/>
          <w:b w:val="0"/>
          <w:bCs w:val="0"/>
          <w:kern w:val="0"/>
          <w:sz w:val="36"/>
          <w:szCs w:val="36"/>
        </w:rPr>
        <w:t>淇县农机购置补贴廉政风险防控机制建设</w:t>
      </w:r>
    </w:p>
    <w:p>
      <w:pPr>
        <w:spacing w:line="560" w:lineRule="exact"/>
        <w:jc w:val="center"/>
        <w:rPr>
          <w:rFonts w:hint="eastAsia" w:ascii="仿宋" w:hAnsi="仿宋" w:eastAsia="仿宋" w:cs="仿宋"/>
          <w:b w:val="0"/>
          <w:bCs w:val="0"/>
          <w:kern w:val="0"/>
          <w:sz w:val="36"/>
          <w:szCs w:val="36"/>
        </w:rPr>
      </w:pPr>
      <w:r>
        <w:rPr>
          <w:rFonts w:hint="eastAsia" w:ascii="仿宋" w:hAnsi="仿宋" w:eastAsia="仿宋" w:cs="仿宋"/>
          <w:b w:val="0"/>
          <w:bCs w:val="0"/>
          <w:kern w:val="0"/>
          <w:sz w:val="36"/>
          <w:szCs w:val="36"/>
        </w:rPr>
        <w:t>实  施  方 案</w:t>
      </w:r>
    </w:p>
    <w:p>
      <w:pPr>
        <w:spacing w:line="560" w:lineRule="exact"/>
        <w:rPr>
          <w:rFonts w:hint="eastAsia" w:ascii="宋体" w:hAnsi="宋体" w:eastAsia="宋体" w:cs="宋体"/>
          <w:b/>
          <w:bCs/>
          <w:kern w:val="0"/>
          <w:sz w:val="32"/>
          <w:szCs w:val="32"/>
        </w:rPr>
      </w:pPr>
      <w:r>
        <w:rPr>
          <w:rFonts w:hint="eastAsia" w:ascii="宋体" w:hAnsi="宋体" w:eastAsia="宋体" w:cs="宋体"/>
          <w:b/>
          <w:bCs/>
          <w:kern w:val="0"/>
          <w:sz w:val="32"/>
          <w:szCs w:val="32"/>
        </w:rPr>
        <w:t>　　</w:t>
      </w:r>
    </w:p>
    <w:p>
      <w:pPr>
        <w:spacing w:line="560" w:lineRule="exact"/>
        <w:ind w:firstLine="640" w:firstLineChars="200"/>
        <w:rPr>
          <w:rFonts w:hint="eastAsia" w:ascii="仿宋" w:hAnsi="仿宋" w:eastAsia="仿宋" w:cs="仿宋"/>
          <w:b/>
          <w:bCs/>
          <w:kern w:val="0"/>
          <w:sz w:val="32"/>
          <w:szCs w:val="32"/>
        </w:rPr>
      </w:pPr>
      <w:r>
        <w:rPr>
          <w:rFonts w:hint="eastAsia" w:ascii="仿宋" w:hAnsi="仿宋" w:eastAsia="仿宋" w:cs="仿宋"/>
          <w:b w:val="0"/>
          <w:bCs w:val="0"/>
          <w:kern w:val="0"/>
          <w:sz w:val="32"/>
          <w:szCs w:val="32"/>
        </w:rPr>
        <w:t>农机购置补贴政策是中央强农惠农政策的重要内容。这项政策实施以来取得了利农利工、提升产业、助民增收等一举多得的好效果。但随着农机购置补贴资金规模的逐年扩大，补贴机具种类范围越来越广，涉及的企业越来越多，开展有效监管的难度越来越大，滋生了一些消极腐败现象。为规范行政权力运作，提高行政效率，加大从源头上防治腐败的工作力度，结合我县实际，制定本方案。</w:t>
      </w:r>
    </w:p>
    <w:p>
      <w:pPr>
        <w:spacing w:line="560" w:lineRule="exact"/>
        <w:rPr>
          <w:rFonts w:hint="eastAsia" w:ascii="仿宋" w:hAnsi="仿宋" w:eastAsia="仿宋" w:cs="仿宋"/>
          <w:b/>
          <w:bCs/>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　一、指导思想</w:t>
      </w:r>
    </w:p>
    <w:p>
      <w:pPr>
        <w:spacing w:line="56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不断提高反腐倡廉建设制度化、科学化、规范化水平。</w:t>
      </w:r>
    </w:p>
    <w:p>
      <w:pPr>
        <w:spacing w:line="560" w:lineRule="exact"/>
        <w:rPr>
          <w:rFonts w:hint="eastAsia" w:ascii="仿宋" w:hAnsi="仿宋" w:eastAsia="仿宋" w:cs="仿宋"/>
          <w:b/>
          <w:bCs/>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二、工作内容</w:t>
      </w:r>
    </w:p>
    <w:p>
      <w:pPr>
        <w:spacing w:line="560" w:lineRule="exact"/>
        <w:rPr>
          <w:rFonts w:hint="eastAsia" w:ascii="仿宋" w:hAnsi="仿宋" w:eastAsia="仿宋" w:cs="仿宋"/>
          <w:b w:val="0"/>
          <w:bCs w:val="0"/>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利用现代风险管理理论，创新反腐倡廉和预防腐败工作机制。全面查找在履行职责过程中，由于制度机制不健全、内外部环境影响等原因，可能引发不廉洁、不作为、乱作为等行为的廉政风险，有针对性地制定防控措施，对预防腐败和廉政勤政建设工作进行科学化、系统化管理。从落实农机购置补贴政策工作的实际出发，以职责履行为主线，以权力运行为重点，从实施补贴政策的各个环节排查廉政风险点，制定防范措施，形成廉政风险防控的长效机制。</w:t>
      </w:r>
    </w:p>
    <w:p>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三、实施步骤</w:t>
      </w:r>
    </w:p>
    <w:p>
      <w:pPr>
        <w:spacing w:line="560" w:lineRule="exact"/>
        <w:rPr>
          <w:rFonts w:hint="eastAsia" w:ascii="仿宋" w:hAnsi="仿宋" w:eastAsia="仿宋" w:cs="仿宋"/>
          <w:b w:val="0"/>
          <w:bCs w:val="0"/>
          <w:kern w:val="0"/>
          <w:sz w:val="32"/>
          <w:szCs w:val="32"/>
        </w:rPr>
      </w:pPr>
      <w:r>
        <w:rPr>
          <w:rFonts w:hint="eastAsia" w:ascii="仿宋" w:hAnsi="仿宋" w:eastAsia="仿宋" w:cs="仿宋"/>
          <w:kern w:val="0"/>
          <w:sz w:val="32"/>
          <w:szCs w:val="32"/>
        </w:rPr>
        <w:t>　　</w:t>
      </w:r>
      <w:r>
        <w:rPr>
          <w:rFonts w:hint="eastAsia" w:ascii="仿宋" w:hAnsi="仿宋" w:eastAsia="仿宋" w:cs="仿宋"/>
          <w:b w:val="0"/>
          <w:bCs w:val="0"/>
          <w:kern w:val="0"/>
          <w:sz w:val="32"/>
          <w:szCs w:val="32"/>
        </w:rPr>
        <w:t>推进廉政风险防控机制建设，按照突出重点、分步实施、扎实推进、务求实效的总体要求，具体分四个阶段进行：</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（一）学习动员阶段（4至5月）</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rPr>
        <w:t xml:space="preserve"> </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结合实际制定推进廉政风险防控机制建设的具体实施方案，明确任务、工作重点和实施步骤。组织广大干部认真学习《中国共产党党员领导干部廉洁从政若干准则》，学习党和国家反腐倡廉法规规定及关于农机购置补贴工作的制度规定等有关文件，进一步提高广大党员干部对推进廉政风险防控机制建设重要性、必要性和紧迫性的认识，提高开展农机购置补贴廉政风险防控机制建设的能力。</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（二）风险排查阶段（6月至7月）</w:t>
      </w:r>
    </w:p>
    <w:p>
      <w:pPr>
        <w:spacing w:line="560" w:lineRule="exact"/>
        <w:rPr>
          <w:rFonts w:hint="eastAsia" w:ascii="仿宋" w:hAnsi="仿宋" w:eastAsia="仿宋" w:cs="仿宋"/>
          <w:b w:val="0"/>
          <w:bCs w:val="0"/>
          <w:spacing w:val="-8"/>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局要对照《</w:t>
      </w:r>
      <w:r>
        <w:rPr>
          <w:rFonts w:hint="eastAsia" w:ascii="仿宋" w:hAnsi="仿宋" w:eastAsia="仿宋" w:cs="仿宋"/>
          <w:b w:val="0"/>
          <w:bCs w:val="0"/>
          <w:kern w:val="0"/>
          <w:sz w:val="32"/>
          <w:szCs w:val="32"/>
          <w:lang w:eastAsia="zh-CN"/>
        </w:rPr>
        <w:t>淇</w:t>
      </w:r>
      <w:r>
        <w:rPr>
          <w:rFonts w:hint="eastAsia" w:ascii="仿宋" w:hAnsi="仿宋" w:eastAsia="仿宋" w:cs="仿宋"/>
          <w:b w:val="0"/>
          <w:bCs w:val="0"/>
          <w:kern w:val="0"/>
          <w:sz w:val="32"/>
          <w:szCs w:val="32"/>
        </w:rPr>
        <w:t>县农机购置补贴政策工作廉政风险及防控措施》，全面查找存在或潜在的廉政风险点，分析风险内容和表现形式，评定风险等级。根据风险发生可能造成的危害程度以及机率大小，可将风险等级划分为三个等级。一级风险是可能造成严重损害后果或者发生机率高的风险，比如可能会导致严重违纪违法犯罪的行为；二级风险是可能造成较为严重损害或发生机率较高的风险，比如可能会导致一般违纪违法或违反廉洁自律有关规定的行为；三级风险是可能造成一般损害后果或发生机率较低的风险，比如会造成不良社会影响或一定经济损失的行为。</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对照岗位职责，从工作流程或权力运行过程入手，采取绘制工作流程图、自己找、集体定等方法，对应查找每个权力行使环节存在的风险，切实做到全覆盖、不漏项。同时要突出重点，特别围绕重大事项决策、大额资金使用等方面重点查找和分析问题。</w:t>
      </w:r>
    </w:p>
    <w:p>
      <w:pPr>
        <w:spacing w:line="560" w:lineRule="exact"/>
        <w:ind w:firstLine="611" w:firstLineChars="200"/>
        <w:rPr>
          <w:rFonts w:hint="eastAsia" w:ascii="仿宋" w:hAnsi="仿宋" w:eastAsia="仿宋" w:cs="仿宋"/>
          <w:b/>
          <w:bCs/>
          <w:spacing w:val="-8"/>
          <w:kern w:val="0"/>
          <w:sz w:val="32"/>
          <w:szCs w:val="32"/>
        </w:rPr>
      </w:pPr>
      <w:r>
        <w:rPr>
          <w:rFonts w:hint="eastAsia" w:ascii="仿宋" w:hAnsi="仿宋" w:eastAsia="仿宋" w:cs="仿宋"/>
          <w:b/>
          <w:bCs/>
          <w:spacing w:val="-8"/>
          <w:kern w:val="0"/>
          <w:sz w:val="32"/>
          <w:szCs w:val="32"/>
        </w:rPr>
        <w:t>（三）完善防控措施阶段（8月至9月）</w:t>
      </w:r>
    </w:p>
    <w:p>
      <w:pPr>
        <w:spacing w:line="560" w:lineRule="exact"/>
        <w:rPr>
          <w:rFonts w:hint="eastAsia" w:ascii="仿宋" w:hAnsi="仿宋" w:eastAsia="仿宋" w:cs="仿宋"/>
          <w:b w:val="0"/>
          <w:bCs w:val="0"/>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（四）考核评估阶段（12月下旬-</w:t>
      </w:r>
      <w:r>
        <w:rPr>
          <w:rFonts w:hint="eastAsia" w:ascii="仿宋" w:hAnsi="仿宋" w:eastAsia="仿宋" w:cs="仿宋"/>
          <w:b/>
          <w:bCs/>
          <w:kern w:val="0"/>
          <w:sz w:val="32"/>
          <w:szCs w:val="32"/>
          <w:lang w:val="en-US" w:eastAsia="zh-CN"/>
        </w:rPr>
        <w:t>下年</w:t>
      </w:r>
      <w:bookmarkStart w:id="0" w:name="_GoBack"/>
      <w:bookmarkEnd w:id="0"/>
      <w:r>
        <w:rPr>
          <w:rFonts w:hint="eastAsia" w:ascii="仿宋" w:hAnsi="仿宋" w:eastAsia="仿宋" w:cs="仿宋"/>
          <w:b/>
          <w:bCs/>
          <w:kern w:val="0"/>
          <w:sz w:val="32"/>
          <w:szCs w:val="32"/>
        </w:rPr>
        <w:t>3月底）</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局要对推进廉政风险防控机制建设工作情况进行认真总结，并形成工作报告报送上级廉政风险防控部门，并随时准备迎接检查。</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四、建立长效机制</w:t>
      </w:r>
    </w:p>
    <w:p>
      <w:pPr>
        <w:spacing w:line="560" w:lineRule="exact"/>
        <w:ind w:firstLine="675"/>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农机局要加强对单位推进廉政风险防控机制建设情况的监督检查，全面检查与重点检查、专项检查与经常性检查相结合，廉政风险防控机制建设检查与党风廉政建设责任制、惩治和预防腐败体系建设检查相结合，把推进廉政风险防控机制建设作为深入开展党的群众路线教育实践活动和绩效考核评估的重要内容；充分发挥查办案件的作用，利用案件暴露出的问题逆向分析廉政风险，完善风险防控措施。</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pPr>
        <w:rPr>
          <w:rFonts w:hint="eastAsia" w:ascii="仿宋" w:hAnsi="仿宋" w:eastAsia="仿宋" w:cs="仿宋"/>
          <w:b/>
          <w:bCs/>
          <w:sz w:val="32"/>
          <w:szCs w:val="32"/>
          <w:lang w:val="en-US" w:eastAsia="zh-CN"/>
        </w:rPr>
      </w:pPr>
    </w:p>
    <w:p>
      <w:pPr>
        <w:ind w:firstLine="4498" w:firstLineChars="1400"/>
        <w:rPr>
          <w:rFonts w:hint="eastAsia" w:ascii="仿宋" w:hAnsi="仿宋" w:eastAsia="仿宋" w:cs="仿宋"/>
          <w:b/>
          <w:bCs/>
          <w:sz w:val="32"/>
          <w:szCs w:val="32"/>
        </w:rPr>
      </w:pPr>
    </w:p>
    <w:p>
      <w:pPr>
        <w:ind w:firstLine="4498" w:firstLineChars="1400"/>
        <w:rPr>
          <w:rFonts w:hint="eastAsia" w:ascii="仿宋" w:hAnsi="仿宋" w:eastAsia="仿宋" w:cs="仿宋"/>
          <w:b/>
          <w:bCs/>
          <w:sz w:val="32"/>
          <w:szCs w:val="32"/>
        </w:rPr>
      </w:pPr>
    </w:p>
    <w:p>
      <w:pPr>
        <w:ind w:firstLine="4800" w:firstLineChars="1500"/>
        <w:rPr>
          <w:rFonts w:hint="eastAsia" w:ascii="仿宋" w:hAnsi="仿宋" w:eastAsia="仿宋" w:cs="仿宋"/>
          <w:b w:val="0"/>
          <w:bCs w:val="0"/>
          <w:sz w:val="32"/>
          <w:szCs w:val="32"/>
        </w:rPr>
      </w:pPr>
      <w:r>
        <w:rPr>
          <w:rFonts w:hint="eastAsia" w:ascii="仿宋" w:hAnsi="仿宋" w:eastAsia="仿宋" w:cs="仿宋"/>
          <w:b w:val="0"/>
          <w:bCs w:val="0"/>
          <w:sz w:val="32"/>
          <w:szCs w:val="32"/>
        </w:rPr>
        <w:t>淇县农</w:t>
      </w:r>
      <w:r>
        <w:rPr>
          <w:rFonts w:hint="eastAsia" w:ascii="仿宋" w:hAnsi="仿宋" w:eastAsia="仿宋" w:cs="仿宋"/>
          <w:b w:val="0"/>
          <w:bCs w:val="0"/>
          <w:sz w:val="32"/>
          <w:szCs w:val="32"/>
          <w:lang w:eastAsia="zh-CN"/>
        </w:rPr>
        <w:t>业农村</w:t>
      </w:r>
      <w:r>
        <w:rPr>
          <w:rFonts w:hint="eastAsia" w:ascii="仿宋" w:hAnsi="仿宋" w:eastAsia="仿宋" w:cs="仿宋"/>
          <w:b w:val="0"/>
          <w:bCs w:val="0"/>
          <w:sz w:val="32"/>
          <w:szCs w:val="32"/>
        </w:rPr>
        <w:t>局</w:t>
      </w:r>
    </w:p>
    <w:p>
      <w:pPr>
        <w:tabs>
          <w:tab w:val="left" w:pos="2886"/>
        </w:tabs>
        <w:bidi w:val="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IwMmI5MjgxMWJmZTIyNDYzYzEzNzZmMzE5YTcifQ=="/>
  </w:docVars>
  <w:rsids>
    <w:rsidRoot w:val="5C4F5204"/>
    <w:rsid w:val="5C4F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2022-12-07T07:49:00Z</dcterms:created>
  <dc:creator>文波</dc:creator>
  <cp:lastModifiedBy>文波</cp:lastModifiedBy>
  <dcterms:modified xsi:type="dcterms:W3CDTF">2022-12-07T07:57:55Z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B3AB8CDA89164D7B835125DF18824BFE</vt:lpwstr>
  </property>
</Properties>
</file>