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华文中宋" w:hAnsi="华文中宋" w:eastAsia="华文中宋" w:cs="Times New Roman"/>
          <w:sz w:val="40"/>
          <w:szCs w:val="40"/>
          <w:lang w:eastAsia="zh-CN"/>
        </w:rPr>
      </w:pPr>
      <w:r>
        <w:rPr>
          <w:rFonts w:hint="eastAsia" w:ascii="华文中宋" w:hAnsi="华文中宋" w:eastAsia="华文中宋" w:cs="华文中宋"/>
          <w:sz w:val="40"/>
          <w:szCs w:val="40"/>
        </w:rPr>
        <w:t>农机购置补贴机具核验</w:t>
      </w:r>
      <w:r>
        <w:rPr>
          <w:rFonts w:hint="eastAsia" w:ascii="华文中宋" w:hAnsi="华文中宋" w:eastAsia="华文中宋" w:cs="华文中宋"/>
          <w:sz w:val="40"/>
          <w:szCs w:val="40"/>
          <w:lang w:eastAsia="zh-CN"/>
        </w:rPr>
        <w:t>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农机购置补贴政策实施相关规定，制定工作</w:t>
      </w:r>
      <w:r>
        <w:rPr>
          <w:rFonts w:hint="eastAsia" w:ascii="仿宋_GB2312" w:eastAsia="仿宋_GB2312" w:cs="仿宋_GB2312"/>
          <w:kern w:val="0"/>
          <w:sz w:val="32"/>
          <w:szCs w:val="32"/>
          <w:lang w:eastAsia="zh-CN"/>
        </w:rPr>
        <w:t>制度</w:t>
      </w:r>
      <w:r>
        <w:rPr>
          <w:rFonts w:hint="eastAsia" w:ascii="仿宋_GB2312" w:eastAsia="仿宋_GB2312" w:cs="仿宋_GB2312"/>
          <w:kern w:val="0"/>
          <w:sz w:val="32"/>
          <w:szCs w:val="32"/>
        </w:rPr>
        <w:t>如</w:t>
      </w:r>
      <w:r>
        <w:rPr>
          <w:rFonts w:hint="eastAsia" w:ascii="仿宋_GB2312" w:eastAsia="仿宋_GB2312" w:cs="仿宋_GB2312"/>
          <w:kern w:val="0"/>
          <w:sz w:val="32"/>
          <w:szCs w:val="32"/>
          <w:lang w:eastAsia="zh-CN"/>
        </w:rPr>
        <w:t>下</w:t>
      </w:r>
      <w:r>
        <w:rPr>
          <w:rFonts w:hint="eastAsia" w:ascii="仿宋_GB2312" w:eastAsia="仿宋_GB2312" w:cs="仿宋_GB2312"/>
          <w:kern w:val="0"/>
          <w:sz w:val="32"/>
          <w:szCs w:val="32"/>
        </w:rPr>
        <w:t>。</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w:t>
      </w:r>
      <w:r>
        <w:rPr>
          <w:rFonts w:hint="eastAsia" w:ascii="仿宋_GB2312" w:hAnsi="宋体" w:eastAsia="仿宋_GB2312" w:cs="仿宋_GB2312"/>
          <w:kern w:val="0"/>
          <w:sz w:val="32"/>
          <w:szCs w:val="32"/>
          <w:lang w:eastAsia="zh-CN"/>
        </w:rPr>
        <w:t>按照</w:t>
      </w:r>
      <w:r>
        <w:rPr>
          <w:rFonts w:hint="eastAsia" w:ascii="仿宋_GB2312" w:hAnsi="宋体" w:eastAsia="仿宋_GB2312" w:cs="仿宋_GB2312"/>
          <w:kern w:val="0"/>
          <w:sz w:val="32"/>
          <w:szCs w:val="32"/>
        </w:rPr>
        <w:t>省</w:t>
      </w:r>
      <w:r>
        <w:rPr>
          <w:rFonts w:hint="eastAsia" w:ascii="仿宋_GB2312" w:hAnsi="宋体" w:eastAsia="仿宋_GB2312" w:cs="仿宋_GB2312"/>
          <w:kern w:val="0"/>
          <w:sz w:val="32"/>
          <w:szCs w:val="32"/>
          <w:lang w:eastAsia="zh-CN"/>
        </w:rPr>
        <w:t>、市</w:t>
      </w:r>
      <w:r>
        <w:rPr>
          <w:rFonts w:hint="eastAsia" w:ascii="仿宋_GB2312" w:hAnsi="宋体" w:eastAsia="仿宋_GB2312" w:cs="仿宋_GB2312"/>
          <w:kern w:val="0"/>
          <w:sz w:val="32"/>
          <w:szCs w:val="32"/>
        </w:rPr>
        <w:t>规定。</w:t>
      </w:r>
      <w:r>
        <w:rPr>
          <w:rFonts w:hint="eastAsia" w:ascii="仿宋_GB2312" w:hAnsi="宋体" w:eastAsia="仿宋_GB2312" w:cs="仿宋_GB2312"/>
          <w:b/>
          <w:bCs/>
          <w:color w:val="auto"/>
          <w:kern w:val="0"/>
          <w:sz w:val="32"/>
          <w:szCs w:val="32"/>
        </w:rPr>
        <w:t>三是限时办理</w:t>
      </w:r>
      <w:r>
        <w:rPr>
          <w:rFonts w:hint="eastAsia" w:ascii="仿宋_GB2312" w:hAnsi="宋体" w:eastAsia="仿宋_GB2312" w:cs="仿宋_GB2312"/>
          <w:color w:val="auto"/>
          <w:kern w:val="0"/>
          <w:sz w:val="32"/>
          <w:szCs w:val="32"/>
        </w:rPr>
        <w:t>。</w:t>
      </w:r>
      <w:r>
        <w:rPr>
          <w:rFonts w:hint="eastAsia" w:ascii="仿宋_GB2312" w:hAnsi="宋体" w:eastAsia="仿宋_GB2312" w:cs="仿宋_GB2312"/>
          <w:kern w:val="0"/>
          <w:sz w:val="32"/>
          <w:szCs w:val="32"/>
        </w:rPr>
        <w:t>对符合条件可以受理的，应</w:t>
      </w:r>
      <w:r>
        <w:rPr>
          <w:rFonts w:hint="eastAsia" w:ascii="仿宋_GB2312" w:hAnsi="宋体" w:eastAsia="仿宋_GB2312" w:cs="仿宋_GB2312"/>
          <w:color w:val="auto"/>
          <w:kern w:val="0"/>
          <w:sz w:val="32"/>
          <w:szCs w:val="32"/>
        </w:rPr>
        <w:t>于13</w:t>
      </w:r>
      <w:r>
        <w:rPr>
          <w:rFonts w:hint="eastAsia" w:ascii="仿宋_GB2312" w:hAnsi="宋体" w:eastAsia="仿宋_GB2312" w:cs="仿宋_GB2312"/>
          <w:kern w:val="0"/>
          <w:sz w:val="32"/>
          <w:szCs w:val="32"/>
        </w:rPr>
        <w:t>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w:t>
      </w:r>
      <w:bookmarkStart w:id="0" w:name="_GoBack"/>
      <w:bookmarkEnd w:id="0"/>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2"/>
          <w:szCs w:val="32"/>
          <w:lang w:eastAsia="zh-CN"/>
        </w:rPr>
        <w:t>区</w:t>
      </w:r>
      <w:r>
        <w:rPr>
          <w:rFonts w:hint="eastAsia" w:ascii="仿宋_GB2312" w:hAnsi="宋体" w:eastAsia="仿宋_GB2312" w:cs="仿宋_GB2312"/>
          <w:kern w:val="0"/>
          <w:sz w:val="32"/>
          <w:szCs w:val="32"/>
        </w:rPr>
        <w:t>农机购置补贴领导小组研究决策。</w:t>
      </w:r>
    </w:p>
    <w:p>
      <w:pPr>
        <w:pStyle w:val="20"/>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Q4Y2I5OWZjYTRkMTQwMGNmZjFhYjkxN2Q2NGZiMjc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6AF517C"/>
    <w:rsid w:val="09B81782"/>
    <w:rsid w:val="0B8C0B24"/>
    <w:rsid w:val="21631ED8"/>
    <w:rsid w:val="2BFA18EA"/>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2166</Words>
  <Characters>2170</Characters>
  <Lines>16</Lines>
  <Paragraphs>4</Paragraphs>
  <TotalTime>11</TotalTime>
  <ScaleCrop>false</ScaleCrop>
  <LinksUpToDate>false</LinksUpToDate>
  <CharactersWithSpaces>2227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2022-07-21T07:17:41Z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