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t>华龙区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</w:rPr>
        <w:t>农机购置补贴内部控制管理制度（试行）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为进一步规范农机购置补贴工作，强化内部权力运行制约，加强廉政风险防控，落实好农机购置补贴政策，结合我</w:t>
      </w:r>
    </w:p>
    <w:p>
      <w:pPr>
        <w:widowControl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实际，制定本制度。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本制度覆盖补贴实施工作的全范围、全岗位、全人员、全过程、全环节，主要包括：补贴工作方案制定、补贴申请受理审核与结算、补贴监管与违规投诉处理、政策宣传与信息公开、绩效管理等 5 项工作。</w:t>
      </w:r>
    </w:p>
    <w:p>
      <w:pPr>
        <w:widowControl/>
        <w:ind w:firstLine="640" w:firstLineChars="20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一、 农机购置补贴工作方案制定</w:t>
      </w:r>
    </w:p>
    <w:p>
      <w:pPr>
        <w:widowControl/>
        <w:ind w:firstLine="643" w:firstLineChars="200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（一） 工作流程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1、编制年度工作方案。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农机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根据已公布的上级农机购置补贴实施办法，结合本年度实际农机需求，拟定本地实施方案。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2、组织工作方案论证。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农机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领导班子对实施方案进行可行性论证，形成实施方案（草案）。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3、报送领导机构审核。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农机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农机购置补贴领导小组提交实施方案（草案）进行审核，并经集体研究后形成终稿。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4、印发工作方案文件。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农机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将集体研究形成的实施方案终稿行文下发。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5、按照职责开展工作。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农机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按年度实施方案完成具体工作任务，定期形成规范信息进行主动公开，</w:t>
      </w:r>
    </w:p>
    <w:p>
      <w:pPr>
        <w:widowControl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</w:t>
      </w:r>
    </w:p>
    <w:p>
      <w:pPr>
        <w:widowControl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并按要求向上级部门报送实施方案、信息和总结等材料。</w:t>
      </w:r>
    </w:p>
    <w:p>
      <w:pPr>
        <w:widowControl/>
        <w:wordWrap w:val="0"/>
        <w:ind w:left="973"/>
        <w:jc w:val="left"/>
        <w:outlineLvl w:val="0"/>
        <w:rPr>
          <w:rFonts w:hint="eastAsia" w:ascii="仿宋" w:hAnsi="仿宋" w:eastAsia="仿宋" w:cs="仿宋"/>
          <w:b/>
          <w:bCs/>
          <w:color w:val="333333"/>
          <w:kern w:val="3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36"/>
          <w:sz w:val="32"/>
          <w:szCs w:val="32"/>
        </w:rPr>
        <w:t>（二）主要风险及防控措施</w:t>
      </w:r>
    </w:p>
    <w:tbl>
      <w:tblPr>
        <w:tblStyle w:val="5"/>
        <w:tblW w:w="0" w:type="auto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00"/>
        <w:gridCol w:w="48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风险点</w:t>
            </w:r>
          </w:p>
        </w:tc>
        <w:tc>
          <w:tcPr>
            <w:tcW w:w="4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防控应对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实施方案制订是否科学</w:t>
            </w:r>
          </w:p>
        </w:tc>
        <w:tc>
          <w:tcPr>
            <w:tcW w:w="4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内部、部门之间征求意见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实施方案制订是否合理</w:t>
            </w:r>
          </w:p>
        </w:tc>
        <w:tc>
          <w:tcPr>
            <w:tcW w:w="4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建立领导班子内审、领导小组终审的二级审核制度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实施方案实施是否有效</w:t>
            </w:r>
          </w:p>
        </w:tc>
        <w:tc>
          <w:tcPr>
            <w:tcW w:w="4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定期形成规范信息进行主动公开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部门职责是否明确到位</w:t>
            </w:r>
          </w:p>
        </w:tc>
        <w:tc>
          <w:tcPr>
            <w:tcW w:w="4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建立部门职责内部审查制度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关键岗位职责是否到位</w:t>
            </w:r>
          </w:p>
        </w:tc>
        <w:tc>
          <w:tcPr>
            <w:tcW w:w="4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建立业务岗位责任制度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领导机构是否发挥作用</w:t>
            </w:r>
          </w:p>
        </w:tc>
        <w:tc>
          <w:tcPr>
            <w:tcW w:w="4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领导小组办公室审核工作方案，对重点事项集体决策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领导机构是否运行正常</w:t>
            </w:r>
          </w:p>
        </w:tc>
        <w:tc>
          <w:tcPr>
            <w:tcW w:w="4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领导小组办公室负责部门协同配合，信息传递</w:t>
            </w:r>
          </w:p>
        </w:tc>
      </w:tr>
    </w:tbl>
    <w:p>
      <w:pPr>
        <w:widowControl/>
        <w:wordWrap w:val="0"/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二、农机购置补贴实施工作流程。</w:t>
      </w:r>
    </w:p>
    <w:p>
      <w:pPr>
        <w:widowControl/>
        <w:wordWrap w:val="0"/>
        <w:ind w:firstLine="643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（一）、申请受理。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对购机者自主提出的补贴申请，农机部门应于2个工作日内做出是否受理的决定，对因资料不齐全等原因无法受理的，应注明原因，并按原渠道退回申请。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农机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全面实行办理服务系统常年连续开放，推广使用带有人脸识别功能的手机App等信息化技术，方便购机者随时在线提交补贴申请、应录尽录，加快实现购机者线下申领补贴“最多跑一次”“最多跑一地”。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级农机购置补贴资金申请数量达到当年可用资金（含结转资金和调剂资金）总量110%的，应及时发布公告，停止受理补贴申请。</w:t>
      </w:r>
    </w:p>
    <w:p>
      <w:pPr>
        <w:widowControl/>
        <w:wordWrap w:val="0"/>
        <w:ind w:firstLine="643" w:firstLineChars="20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（二）、资格审核</w:t>
      </w:r>
    </w:p>
    <w:p>
      <w:pPr>
        <w:widowControl/>
        <w:wordWrap w:val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1、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直接从事农业生产的个人需提供身份证原件及复印件、惠民惠农财政补贴资金一卡通原件及复印件。</w:t>
      </w:r>
    </w:p>
    <w:p>
      <w:pPr>
        <w:widowControl/>
        <w:wordWrap w:val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农业生产经营组织需提供工商营业执照、对公账号原件及复印件。</w:t>
      </w:r>
    </w:p>
    <w:p>
      <w:pPr>
        <w:widowControl/>
        <w:wordWrap w:val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3、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公职人员购买农机具不能享受补贴，基层办理农机购置补贴工作人员没有身份审核权限，不负身份审核责任，公职人员购买农机具隐瞒身份申请补贴的，一切责任自负。</w:t>
      </w:r>
    </w:p>
    <w:p>
      <w:pPr>
        <w:widowControl/>
        <w:wordWrap w:val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4、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购机者需要提供购买补贴机具税控发票、机具合格证原件及复印件，所购机具为拖拉机、谷物收割机等实行牌证管理的，还需提供行驶证原件及复印件。以及政策实施要求提供的其他必要信息。</w:t>
      </w:r>
    </w:p>
    <w:p>
      <w:pPr>
        <w:widowControl/>
        <w:wordWrap w:val="0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上述信息的真实性、完整性和有效性由购机者、产销企业和农机监理机构分别负责，并承担相应的法律责任。</w:t>
      </w:r>
    </w:p>
    <w:p>
      <w:pPr>
        <w:widowControl/>
        <w:wordWrap w:val="0"/>
        <w:ind w:firstLine="643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（三）机具核验。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农机部门按照《河南省农机购置补贴机具核验工作要点（试行）》等要求，对补贴相关申请资料进行形式审核，对补贴机具进行核验，其中牌证管理机具凭牌证免于现场实物核验。对资料核验、机具核验的程序、方式和签章的规范性进行集体复核，可与集体会商同步进行。于13个工作日内（不含公示时间）完成相关核验工作。</w:t>
      </w:r>
    </w:p>
    <w:p>
      <w:pPr>
        <w:widowControl/>
        <w:wordWrap w:val="0"/>
        <w:ind w:firstLine="643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（四）公示报送。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对通过复核的补贴申请信息在农机购置补贴信息公开专栏进行公示，同时在补贴申请点公示栏公开公示信息，公示时间为5个工作日，公示无异议后报送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财政部门。</w:t>
      </w:r>
    </w:p>
    <w:p>
      <w:pPr>
        <w:widowControl/>
        <w:wordWrap w:val="0"/>
        <w:ind w:firstLine="643" w:firstLineChars="200"/>
        <w:jc w:val="left"/>
        <w:rPr>
          <w:rFonts w:hint="eastAsia" w:ascii="仿宋" w:hAnsi="仿宋" w:eastAsia="仿宋" w:cs="仿宋"/>
          <w:b/>
          <w:bCs/>
          <w:color w:val="333333"/>
          <w:kern w:val="3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（五）资金兑付。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财政部门审核农机部门提交的资金兑付申请与有关材料，于15个工作日内通过国库集中支付方式向符合要求的购机者兑付资金。严禁挤占挪用农机购置补贴资金。因资金不足或加强监管等原因需要延期兑付的，应告知购机者，并及时与农机部门联合向上报告资金供需情况。补贴申领原则上当年有效，因当年财政补贴资金规模不够、办理手续时间紧张等无法享受补贴的，可在下一个年度优先兑付。</w:t>
      </w:r>
    </w:p>
    <w:p>
      <w:pPr>
        <w:widowControl/>
        <w:wordWrap w:val="0"/>
        <w:ind w:firstLine="643" w:firstLineChars="200"/>
        <w:jc w:val="left"/>
        <w:outlineLvl w:val="0"/>
        <w:rPr>
          <w:rFonts w:hint="eastAsia" w:ascii="仿宋" w:hAnsi="仿宋" w:eastAsia="仿宋" w:cs="仿宋"/>
          <w:b/>
          <w:bCs/>
          <w:color w:val="333333"/>
          <w:kern w:val="3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36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333333"/>
          <w:kern w:val="36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333333"/>
          <w:kern w:val="36"/>
          <w:sz w:val="32"/>
          <w:szCs w:val="32"/>
        </w:rPr>
        <w:t>） 主要风险及防控措施</w:t>
      </w:r>
    </w:p>
    <w:tbl>
      <w:tblPr>
        <w:tblStyle w:val="5"/>
        <w:tblW w:w="0" w:type="auto"/>
        <w:tblInd w:w="2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2"/>
        <w:gridCol w:w="40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风险点</w:t>
            </w:r>
          </w:p>
        </w:tc>
        <w:tc>
          <w:tcPr>
            <w:tcW w:w="4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防控应对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4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补贴对象是否符合资格条件</w:t>
            </w:r>
          </w:p>
        </w:tc>
        <w:tc>
          <w:tcPr>
            <w:tcW w:w="4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个人提供社保卡，农业生产经营组织提供开户许可证和申请补助对象同名的银行账号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4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补贴申请资料是否合规</w:t>
            </w:r>
          </w:p>
        </w:tc>
        <w:tc>
          <w:tcPr>
            <w:tcW w:w="4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纸质资料和录入记录分别审核确认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4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未按要求审核补贴申请资料、录入购机补贴信息</w:t>
            </w:r>
          </w:p>
        </w:tc>
        <w:tc>
          <w:tcPr>
            <w:tcW w:w="4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补贴申请资料确认完整后，才能录入购机信息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</w:trPr>
        <w:tc>
          <w:tcPr>
            <w:tcW w:w="4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补贴机具未现场核实即录入购机信息</w:t>
            </w:r>
          </w:p>
        </w:tc>
        <w:tc>
          <w:tcPr>
            <w:tcW w:w="4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现场核对机具信息无误后才能录入购机信息，做好人机合影等受理工作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4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已录入购机信息不完整</w:t>
            </w:r>
          </w:p>
        </w:tc>
        <w:tc>
          <w:tcPr>
            <w:tcW w:w="4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退回，并告知购机者完善补贴材料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牌证管理信息是否合规</w:t>
            </w:r>
          </w:p>
        </w:tc>
        <w:tc>
          <w:tcPr>
            <w:tcW w:w="4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农机监理所及时提供牌证信息（含报废更新相关情况）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4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实地安装确认验收手续是否合规</w:t>
            </w:r>
          </w:p>
        </w:tc>
        <w:tc>
          <w:tcPr>
            <w:tcW w:w="4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  <w:t>区农机局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负责实地安装的机具验收，并如实填写安装确认表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已录入购机信息与申请补贴报账信息不符</w:t>
            </w:r>
          </w:p>
        </w:tc>
        <w:tc>
          <w:tcPr>
            <w:tcW w:w="4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通知生产企业和经销商做书面说明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4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未收到录入信息中对应经销商报送的补贴机具销售情况</w:t>
            </w:r>
          </w:p>
        </w:tc>
        <w:tc>
          <w:tcPr>
            <w:tcW w:w="4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通知经销商按规定要求报送，必要时进行限期整改</w:t>
            </w:r>
          </w:p>
        </w:tc>
      </w:tr>
    </w:tbl>
    <w:p>
      <w:pPr>
        <w:widowControl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三、农机购置补贴监管、违规与投诉调查处理</w:t>
      </w:r>
      <w:r>
        <w:rPr>
          <w:rFonts w:hint="eastAsia" w:ascii="黑体" w:hAnsi="黑体" w:eastAsia="黑体" w:cs="黑体"/>
          <w:bCs/>
          <w:color w:val="333333"/>
          <w:kern w:val="36"/>
          <w:sz w:val="32"/>
          <w:szCs w:val="32"/>
        </w:rPr>
        <w:t>工作流程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制定方案。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制订年度监督检查工作方案，成立监督检查组， 邀请财政等部门参加；相关举报投诉等由相关职能科室登记受理。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监督检查。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对照购置补贴实施方案要求，监督检查组对供货单位和购机者进行检查。已受理的线索由调查组进行调查核实和收集相关佐证材料，并提出处理意见和建议，报送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区农机局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领导。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问题会商。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农机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组织对违规问题进行会商，按照分类处置要求，区分违规性质，确定处理结果。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约谈告知。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在作出正式处理决定前，约谈违规主体，告知违规问题和处理意见。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处理通报。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根据调查结果和约谈情况，对涉事单位和个人下达处理决定。将处理结果进行通报，并上报上级主管部门。</w:t>
      </w:r>
    </w:p>
    <w:p>
      <w:pPr>
        <w:widowControl/>
        <w:ind w:left="638" w:leftChars="304" w:firstLine="0" w:firstLineChars="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农机购置补贴政策宣传及信息公开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（一）工作流程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1、政策宣传。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将年度农机购置补贴政策相关内容进行归集，针对不同宣传方式形成政策宣传资料。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2、信息公开。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农机购置补贴信息公开专栏建设相关规定梳理资料形成规范性信息，在省农机购置补贴信息公开专栏发布。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（二）风险点与防控应对策略</w:t>
      </w:r>
    </w:p>
    <w:tbl>
      <w:tblPr>
        <w:tblStyle w:val="5"/>
        <w:tblW w:w="8270" w:type="dxa"/>
        <w:tblInd w:w="12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51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风险点</w:t>
            </w:r>
          </w:p>
        </w:tc>
        <w:tc>
          <w:tcPr>
            <w:tcW w:w="5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防控应对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政策咨询答复时间是否合规</w:t>
            </w:r>
          </w:p>
        </w:tc>
        <w:tc>
          <w:tcPr>
            <w:tcW w:w="5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能当场答复的当场答复，不能当场答复的在 3 个工作日答复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政策宣传掌握尺度是否合规</w:t>
            </w:r>
          </w:p>
        </w:tc>
        <w:tc>
          <w:tcPr>
            <w:tcW w:w="5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严格执行政策文件中的内容要求，加强学习，不随意变更政策执行标准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信息发布前是否通过审查</w:t>
            </w:r>
          </w:p>
        </w:tc>
        <w:tc>
          <w:tcPr>
            <w:tcW w:w="5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按规定栏目和内容进行公开，按规定组织公开信息的合规性审查，未审查、审查不通过和涉密、涉及隐私的信息不公开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信息发布、修改和更新</w:t>
            </w:r>
          </w:p>
        </w:tc>
        <w:tc>
          <w:tcPr>
            <w:tcW w:w="5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专人负责，逐级审核，按旬维护，按月更新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信息公开工作职责是否到位</w:t>
            </w:r>
          </w:p>
        </w:tc>
        <w:tc>
          <w:tcPr>
            <w:tcW w:w="5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对梳理和采集信息建立工作岗位负责制</w:t>
            </w:r>
          </w:p>
        </w:tc>
      </w:tr>
    </w:tbl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农机购置补贴绩效管理</w:t>
      </w:r>
    </w:p>
    <w:p>
      <w:pPr>
        <w:widowControl/>
        <w:numPr>
          <w:ilvl w:val="0"/>
          <w:numId w:val="2"/>
        </w:numPr>
        <w:ind w:left="319" w:leftChars="152" w:firstLine="321" w:firstLineChars="10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工作流程</w:t>
      </w:r>
    </w:p>
    <w:p>
      <w:pPr>
        <w:widowControl/>
        <w:numPr>
          <w:ilvl w:val="0"/>
          <w:numId w:val="3"/>
        </w:numPr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建立健全农机购置补贴制度。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制定完善的农机购置补贴工作、资金管理、责任追究、投诉处理、信息公开、绩效管理、补贴系统等方面管理制度。</w:t>
      </w:r>
    </w:p>
    <w:p>
      <w:pPr>
        <w:widowControl/>
        <w:numPr>
          <w:ilvl w:val="0"/>
          <w:numId w:val="3"/>
        </w:numPr>
        <w:ind w:left="0"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宏观指导等重点工作开展情况。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政府出台相关文件，成立领导机构，建立廉政防控机制，签订工作责任状，落实工作经费，制定中长期发展规划，制定农机购置补贴实施方案。</w:t>
      </w:r>
    </w:p>
    <w:p>
      <w:pPr>
        <w:widowControl/>
        <w:numPr>
          <w:ilvl w:val="0"/>
          <w:numId w:val="3"/>
        </w:numPr>
        <w:ind w:left="0"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农机购置补贴工作监督检查。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制定检查方案，按要求开展核查、定期和不定期检查，对重点机具和重点对象进行重点检查。</w:t>
      </w:r>
    </w:p>
    <w:p>
      <w:pPr>
        <w:widowControl/>
        <w:numPr>
          <w:ilvl w:val="0"/>
          <w:numId w:val="3"/>
        </w:numPr>
        <w:ind w:left="0"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资金执行和兑付工作考核。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及时掌握资金使用进度，确保资金使用的计划性和资金兑付的及时性。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5、完成绩效目标。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开展绩效管理，通过实施农机购置补贴，促进农机化水平达到预期目标。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（二）风险点与防控应对策略</w:t>
      </w:r>
    </w:p>
    <w:tbl>
      <w:tblPr>
        <w:tblStyle w:val="5"/>
        <w:tblW w:w="0" w:type="auto"/>
        <w:tblInd w:w="3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8"/>
        <w:gridCol w:w="48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3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风险点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防控应对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4" w:hRule="atLeast"/>
        </w:trPr>
        <w:tc>
          <w:tcPr>
            <w:tcW w:w="3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内部控制与绩效管理相脱节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把风险防控列入年度绩效管理考核重要内容，贯穿于农机购置补贴政策实施的全过程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3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评价方案和指标体系不切合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实际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公布年度绩效考核方案及评分依据，提高考核的合理性，防止暗箱操作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4" w:hRule="atLeast"/>
        </w:trPr>
        <w:tc>
          <w:tcPr>
            <w:tcW w:w="3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考核的结果失真、不准确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层级监管、逐级考核，发挥层级梯次职能作用；可以委托第三方机构进行抽查，体现考核的公平性和独立性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4" w:hRule="atLeast"/>
        </w:trPr>
        <w:tc>
          <w:tcPr>
            <w:tcW w:w="3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存在弄虚作假行为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经财政、审计、纪检等部门和司法机关查处，有重大违法违规行为并造成恶劣影响的，实行一票否决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3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考核结果得不到有效应用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通报年度绩效考核结果，把考核情况作为补贴资金和监督经费等分配下达的重要依据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A7750"/>
    <w:multiLevelType w:val="singleLevel"/>
    <w:tmpl w:val="DD8A775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77A614"/>
    <w:multiLevelType w:val="singleLevel"/>
    <w:tmpl w:val="1477A61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4C89E92"/>
    <w:multiLevelType w:val="singleLevel"/>
    <w:tmpl w:val="74C89E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ZTVmYzkzYWUxZjRiZmNkZDU4ZWE3NDU1YTA4MjkifQ=="/>
  </w:docVars>
  <w:rsids>
    <w:rsidRoot w:val="00A448AA"/>
    <w:rsid w:val="001E6A5F"/>
    <w:rsid w:val="002A634F"/>
    <w:rsid w:val="002F4D28"/>
    <w:rsid w:val="0045764B"/>
    <w:rsid w:val="00596CAE"/>
    <w:rsid w:val="005D27F8"/>
    <w:rsid w:val="005F3AF5"/>
    <w:rsid w:val="00A448AA"/>
    <w:rsid w:val="00AF3AE2"/>
    <w:rsid w:val="00C87E52"/>
    <w:rsid w:val="00DD294D"/>
    <w:rsid w:val="00F021C9"/>
    <w:rsid w:val="00F346D4"/>
    <w:rsid w:val="5A4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3227</Words>
  <Characters>3234</Characters>
  <Lines>24</Lines>
  <Paragraphs>6</Paragraphs>
  <TotalTime>7</TotalTime>
  <ScaleCrop>false</ScaleCrop>
  <LinksUpToDate>false</LinksUpToDate>
  <CharactersWithSpaces>3255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2008-12-31T16:12:00Z</dcterms:created>
  <dc:creator>Administrator</dc:creator>
  <cp:lastModifiedBy>白开心</cp:lastModifiedBy>
  <dcterms:modified xsi:type="dcterms:W3CDTF">2022-07-21T02:08:08Z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A69872C874984BB4AD99A02AB28E5AAC</vt:lpwstr>
  </property>
</Properties>
</file>