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47" w:tblpY="2823"/>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distribute"/>
              <w:textAlignment w:val="auto"/>
              <w:outlineLvl w:val="9"/>
              <w:rPr>
                <w:rFonts w:hint="eastAsia" w:ascii="方正小标宋简体" w:hAnsi="方正小标宋简体" w:eastAsia="方正小标宋简体" w:cs="方正小标宋简体"/>
                <w:b w:val="0"/>
                <w:bCs/>
                <w:color w:val="FF0000"/>
                <w:spacing w:val="-56"/>
                <w:w w:val="66"/>
                <w:kern w:val="2"/>
                <w:sz w:val="84"/>
                <w:szCs w:val="84"/>
                <w:lang w:val="en-US" w:eastAsia="zh-CN" w:bidi="ar-SA"/>
              </w:rPr>
            </w:pPr>
            <w:r>
              <w:rPr>
                <w:rFonts w:hint="eastAsia" w:ascii="方正小标宋简体" w:hAnsi="方正小标宋简体" w:eastAsia="方正小标宋简体" w:cs="方正小标宋简体"/>
                <w:b w:val="0"/>
                <w:bCs/>
                <w:color w:val="FF0000"/>
                <w:spacing w:val="-56"/>
                <w:w w:val="66"/>
                <w:sz w:val="84"/>
                <w:szCs w:val="84"/>
              </w:rPr>
              <w:t>安阳市北关区农</w:t>
            </w:r>
            <w:r>
              <w:rPr>
                <w:rFonts w:hint="eastAsia" w:ascii="方正小标宋简体" w:hAnsi="方正小标宋简体" w:eastAsia="方正小标宋简体" w:cs="方正小标宋简体"/>
                <w:b w:val="0"/>
                <w:bCs/>
                <w:color w:val="FF0000"/>
                <w:spacing w:val="-56"/>
                <w:w w:val="66"/>
                <w:sz w:val="84"/>
                <w:szCs w:val="84"/>
                <w:lang w:val="en-US" w:eastAsia="zh-CN"/>
              </w:rPr>
              <w:t>业农村</w:t>
            </w:r>
            <w:r>
              <w:rPr>
                <w:rFonts w:hint="eastAsia" w:ascii="方正小标宋简体" w:hAnsi="方正小标宋简体" w:eastAsia="方正小标宋简体" w:cs="方正小标宋简体"/>
                <w:b w:val="0"/>
                <w:bCs/>
                <w:color w:val="FF0000"/>
                <w:spacing w:val="-56"/>
                <w:w w:val="66"/>
                <w:sz w:val="84"/>
                <w:szCs w:val="84"/>
              </w:rPr>
              <w:t>局</w:t>
            </w:r>
          </w:p>
        </w:tc>
        <w:tc>
          <w:tcPr>
            <w:tcW w:w="170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color w:val="FF0000"/>
                <w:sz w:val="84"/>
                <w:szCs w:val="84"/>
              </w:rPr>
            </w:pPr>
            <w:r>
              <w:rPr>
                <w:rFonts w:hint="eastAsia" w:ascii="方正小标宋简体" w:hAnsi="方正小标宋简体" w:eastAsia="方正小标宋简体" w:cs="方正小标宋简体"/>
                <w:b w:val="0"/>
                <w:bCs/>
                <w:color w:val="FF0000"/>
                <w:w w:val="66"/>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240" w:lineRule="auto"/>
              <w:ind w:left="759" w:right="0" w:rightChars="0" w:hanging="442" w:hangingChars="100"/>
              <w:jc w:val="distribute"/>
              <w:textAlignment w:val="auto"/>
              <w:outlineLvl w:val="9"/>
              <w:rPr>
                <w:rFonts w:hint="eastAsia" w:ascii="方正小标宋简体" w:hAnsi="方正小标宋简体" w:eastAsia="方正小标宋简体" w:cs="方正小标宋简体"/>
                <w:b w:val="0"/>
                <w:bCs/>
                <w:color w:val="auto"/>
                <w:spacing w:val="18"/>
                <w:w w:val="66"/>
                <w:sz w:val="84"/>
                <w:szCs w:val="84"/>
              </w:rPr>
            </w:pPr>
            <w:r>
              <w:rPr>
                <w:rFonts w:hint="eastAsia" w:ascii="方正小标宋简体" w:hAnsi="方正小标宋简体" w:eastAsia="方正小标宋简体" w:cs="方正小标宋简体"/>
                <w:b w:val="0"/>
                <w:bCs/>
                <w:color w:val="FF0000"/>
                <w:spacing w:val="-56"/>
                <w:w w:val="66"/>
                <w:sz w:val="84"/>
                <w:szCs w:val="84"/>
              </w:rPr>
              <w:t>安阳市北关区财政局</w:t>
            </w:r>
          </w:p>
        </w:tc>
        <w:tc>
          <w:tcPr>
            <w:tcW w:w="17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distribute"/>
              <w:textAlignment w:val="auto"/>
              <w:outlineLvl w:val="9"/>
              <w:rPr>
                <w:rFonts w:hint="eastAsia" w:ascii="方正小标宋简体" w:hAnsi="方正小标宋简体" w:eastAsia="方正小标宋简体" w:cs="方正小标宋简体"/>
                <w:b/>
                <w:color w:val="auto"/>
                <w:sz w:val="52"/>
                <w:szCs w:val="52"/>
              </w:rPr>
            </w:pPr>
          </w:p>
        </w:tc>
      </w:tr>
    </w:tbl>
    <w:tbl>
      <w:tblPr>
        <w:tblStyle w:val="6"/>
        <w:tblpPr w:leftFromText="180" w:rightFromText="180" w:vertAnchor="page" w:horzAnchor="page" w:tblpX="1769" w:tblpY="5328"/>
        <w:tblW w:w="0" w:type="auto"/>
        <w:tblInd w:w="0" w:type="dxa"/>
        <w:tblLayout w:type="fixed"/>
        <w:tblCellMar>
          <w:top w:w="0" w:type="dxa"/>
          <w:left w:w="0" w:type="dxa"/>
          <w:bottom w:w="0" w:type="dxa"/>
          <w:right w:w="0" w:type="dxa"/>
        </w:tblCellMar>
      </w:tblPr>
      <w:tblGrid>
        <w:gridCol w:w="4554"/>
        <w:gridCol w:w="2811"/>
        <w:gridCol w:w="1440"/>
      </w:tblGrid>
      <w:tr>
        <w:tblPrEx>
          <w:tblCellMar>
            <w:top w:w="0" w:type="dxa"/>
            <w:left w:w="0" w:type="dxa"/>
            <w:bottom w:w="0" w:type="dxa"/>
            <w:right w:w="0" w:type="dxa"/>
          </w:tblCellMar>
        </w:tblPrEx>
        <w:trPr>
          <w:cantSplit/>
          <w:trHeight w:val="918" w:hRule="atLeast"/>
        </w:trPr>
        <w:tc>
          <w:tcPr>
            <w:tcW w:w="455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ascii="仿宋_GB2312" w:hAnsi="宋体" w:eastAsia="仿宋_GB2312" w:cs="Times New Roman"/>
                <w:color w:val="auto"/>
                <w:sz w:val="32"/>
                <w:szCs w:val="32"/>
              </w:rPr>
            </w:pPr>
            <w:r>
              <w:rPr>
                <w:rFonts w:hint="eastAsia" w:ascii="仿宋_GB2312" w:hAnsi="Times New Roman" w:eastAsia="仿宋_GB2312" w:cs="Times New Roman"/>
                <w:color w:val="auto"/>
                <w:sz w:val="32"/>
                <w:szCs w:val="32"/>
              </w:rPr>
              <w:t>北农[20</w:t>
            </w:r>
            <w:r>
              <w:rPr>
                <w:rFonts w:hint="eastAsia" w:ascii="仿宋_GB2312"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号</w:t>
            </w:r>
          </w:p>
        </w:tc>
        <w:tc>
          <w:tcPr>
            <w:tcW w:w="28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both"/>
              <w:textAlignment w:val="auto"/>
              <w:outlineLvl w:val="9"/>
              <w:rPr>
                <w:rFonts w:ascii="仿宋_GB2312" w:hAnsi="宋体" w:eastAsia="仿宋_GB2312" w:cs="Times New Roman"/>
                <w:color w:val="auto"/>
                <w:sz w:val="32"/>
                <w:szCs w:val="32"/>
              </w:rPr>
            </w:pPr>
            <w:r>
              <w:rPr>
                <w:rFonts w:hint="eastAsia" w:ascii="仿宋_GB2312" w:hAnsi="Times New Roman" w:eastAsia="仿宋_GB2312" w:cs="Times New Roman"/>
                <w:color w:val="auto"/>
                <w:sz w:val="32"/>
                <w:szCs w:val="32"/>
              </w:rPr>
              <w:t xml:space="preserve">签发人：  </w:t>
            </w:r>
          </w:p>
        </w:tc>
        <w:tc>
          <w:tcPr>
            <w:tcW w:w="144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刘学胜</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胡秉州</w:t>
            </w:r>
          </w:p>
        </w:tc>
      </w:tr>
    </w:tbl>
    <w:p>
      <w:pPr>
        <w:keepNext w:val="0"/>
        <w:keepLines w:val="0"/>
        <w:pageBreakBefore w:val="0"/>
        <w:kinsoku/>
        <w:overflowPunct/>
        <w:topLinePunct w:val="0"/>
        <w:bidi w:val="0"/>
        <w:spacing w:line="590" w:lineRule="exact"/>
        <w:ind w:right="25" w:rightChars="12"/>
        <w:textAlignment w:val="auto"/>
        <w:outlineLvl w:val="9"/>
        <w:rPr>
          <w:rFonts w:hint="eastAsia" w:ascii="Times New Roman" w:hAnsi="Times New Roman" w:eastAsia="宋体" w:cs="Times New Roman"/>
          <w:color w:val="auto"/>
          <w:sz w:val="44"/>
        </w:rPr>
      </w:pPr>
    </w:p>
    <w:p>
      <w:pPr>
        <w:keepNext w:val="0"/>
        <w:keepLines w:val="0"/>
        <w:pageBreakBefore w:val="0"/>
        <w:kinsoku/>
        <w:overflowPunct/>
        <w:topLinePunct w:val="0"/>
        <w:bidi w:val="0"/>
        <w:spacing w:line="590" w:lineRule="exact"/>
        <w:ind w:right="25" w:rightChars="12"/>
        <w:textAlignment w:val="auto"/>
        <w:outlineLvl w:val="9"/>
        <w:rPr>
          <w:rFonts w:hint="eastAsia" w:ascii="Times New Roman" w:hAnsi="Times New Roman" w:eastAsia="宋体" w:cs="Times New Roman"/>
          <w:color w:val="auto"/>
          <w:sz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ascii="Times New Roman" w:hAnsi="Times New Roman" w:eastAsia="宋体" w:cs="Times New Roman"/>
          <w:sz w:val="44"/>
        </w:rPr>
      </w:pPr>
      <w:r>
        <w:rPr>
          <w:rFonts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2548255</wp:posOffset>
                </wp:positionV>
                <wp:extent cx="5694680" cy="27940"/>
                <wp:effectExtent l="0" t="6350" r="1270" b="22860"/>
                <wp:wrapNone/>
                <wp:docPr id="1" name="直接连接符 1"/>
                <wp:cNvGraphicFramePr/>
                <a:graphic xmlns:a="http://schemas.openxmlformats.org/drawingml/2006/main">
                  <a:graphicData uri="http://schemas.microsoft.com/office/word/2010/wordprocessingShape">
                    <wps:wsp>
                      <wps:cNvCnPr/>
                      <wps:spPr>
                        <a:xfrm flipV="1">
                          <a:off x="0" y="0"/>
                          <a:ext cx="5694680" cy="2794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05pt;margin-top:200.65pt;height:2.2pt;width:448.4pt;z-index:251659264;mso-width-relative:page;mso-height-relative:page;" filled="f" stroked="t" coordsize="21600,21600" o:gfxdata="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Muw+2QAAAAoBAAAPAAAAAAAAAAEAIAAAACIA&#10;AABkcnMvZG93bnJldi54bWxQSwECFAAUAAAACACHTuJAKJfVWggCAAABBAAADgAAAAAAAAABACAA&#10;AAAoAQAAZHJzL2Uyb0RvYy54bWxQSwUGAAAAAAYABgBZAQAAogU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关于印发《北关区20</w:t>
      </w:r>
      <w:r>
        <w:rPr>
          <w:rFonts w:hint="eastAsia" w:ascii="方正小标宋简体" w:hAnsi="方正小标宋简体" w:eastAsia="方正小标宋简体" w:cs="方正小标宋简体"/>
          <w:b w:val="0"/>
          <w:bCs/>
          <w:color w:val="auto"/>
          <w:sz w:val="44"/>
          <w:szCs w:val="44"/>
          <w:lang w:val="en-US" w:eastAsia="zh-CN"/>
        </w:rPr>
        <w:t>21-2023</w:t>
      </w:r>
      <w:r>
        <w:rPr>
          <w:rFonts w:hint="eastAsia" w:ascii="方正小标宋简体" w:hAnsi="方正小标宋简体" w:eastAsia="方正小标宋简体" w:cs="方正小标宋简体"/>
          <w:b w:val="0"/>
          <w:bCs/>
          <w:color w:val="auto"/>
          <w:sz w:val="44"/>
          <w:szCs w:val="44"/>
        </w:rPr>
        <w:t>年农机购置补贴实施方案》的通知</w:t>
      </w:r>
    </w:p>
    <w:p>
      <w:pPr>
        <w:keepNext w:val="0"/>
        <w:keepLines w:val="0"/>
        <w:pageBreakBefore w:val="0"/>
        <w:widowControl w:val="0"/>
        <w:kinsoku/>
        <w:wordWrap/>
        <w:overflowPunct/>
        <w:topLinePunct w:val="0"/>
        <w:autoSpaceDE w:val="0"/>
        <w:autoSpaceDN w:val="0"/>
        <w:bidi w:val="0"/>
        <w:adjustRightInd w:val="0"/>
        <w:snapToGrid/>
        <w:spacing w:line="590" w:lineRule="exact"/>
        <w:jc w:val="center"/>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各涉农街道办事处（中原高新区）、柏庄镇政府：</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规范实施农机购置补贴政策，充分发挥政策效益，推动农业机械化向全程全面高质高效转型升级，有效支撑粮食安全、重要农产品有效供给和农民增收，促进农业高质高效发展，助力全面推进乡村振兴、加快农业农村现代化，</w:t>
      </w:r>
      <w:r>
        <w:rPr>
          <w:rFonts w:hint="eastAsia" w:ascii="仿宋" w:hAnsi="仿宋" w:eastAsia="仿宋" w:cs="仿宋"/>
          <w:kern w:val="0"/>
          <w:sz w:val="32"/>
          <w:szCs w:val="32"/>
        </w:rPr>
        <w:t>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 xml:space="preserve">厅 </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2021-2023年农机购置补贴实施指导意见〉的通知</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）要求，</w:t>
      </w:r>
      <w:r>
        <w:rPr>
          <w:rFonts w:hint="eastAsia" w:ascii="仿宋" w:hAnsi="仿宋" w:eastAsia="仿宋" w:cs="仿宋"/>
          <w:kern w:val="0"/>
          <w:sz w:val="32"/>
          <w:szCs w:val="32"/>
        </w:rPr>
        <w:t>结合我</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实际，</w:t>
      </w:r>
      <w:r>
        <w:rPr>
          <w:rFonts w:hint="eastAsia" w:ascii="仿宋" w:hAnsi="仿宋" w:eastAsia="仿宋" w:cs="仿宋"/>
          <w:color w:val="333333"/>
          <w:kern w:val="0"/>
          <w:sz w:val="32"/>
          <w:szCs w:val="32"/>
        </w:rPr>
        <w:t>我们制定了《</w:t>
      </w: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2021—2023年农机购置补贴实施</w:t>
      </w:r>
      <w:r>
        <w:rPr>
          <w:rFonts w:hint="eastAsia" w:ascii="仿宋" w:hAnsi="仿宋" w:eastAsia="仿宋" w:cs="仿宋"/>
          <w:color w:val="333333"/>
          <w:kern w:val="0"/>
          <w:sz w:val="32"/>
          <w:szCs w:val="32"/>
          <w:lang w:val="en-US" w:eastAsia="zh-CN"/>
        </w:rPr>
        <w:t>方案</w:t>
      </w:r>
      <w:r>
        <w:rPr>
          <w:rFonts w:hint="eastAsia" w:ascii="仿宋" w:hAnsi="仿宋" w:eastAsia="仿宋" w:cs="仿宋"/>
          <w:color w:val="333333"/>
          <w:kern w:val="0"/>
          <w:sz w:val="32"/>
          <w:szCs w:val="32"/>
        </w:rPr>
        <w:t>》，现予印发，请遵照执行。</w:t>
      </w:r>
    </w:p>
    <w:p>
      <w:pPr>
        <w:keepNext w:val="0"/>
        <w:keepLines w:val="0"/>
        <w:pageBreakBefore w:val="0"/>
        <w:widowControl w:val="0"/>
        <w:kinsoku/>
        <w:wordWrap/>
        <w:overflowPunct/>
        <w:topLinePunct w:val="0"/>
        <w:autoSpaceDE w:val="0"/>
        <w:autoSpaceDN w:val="0"/>
        <w:bidi w:val="0"/>
        <w:adjustRightInd w:val="0"/>
        <w:snapToGrid/>
        <w:spacing w:line="590" w:lineRule="exact"/>
        <w:ind w:right="-269" w:rightChars="-128"/>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90" w:lineRule="exact"/>
        <w:ind w:firstLine="320" w:firstLineChars="100"/>
        <w:jc w:val="both"/>
        <w:rPr>
          <w:rFonts w:hint="eastAsia" w:ascii="仿宋" w:hAnsi="仿宋" w:eastAsia="仿宋" w:cs="仿宋"/>
          <w:bCs/>
          <w:sz w:val="32"/>
          <w:szCs w:val="32"/>
        </w:rPr>
      </w:pPr>
      <w:r>
        <w:rPr>
          <w:rFonts w:hint="eastAsia" w:ascii="仿宋" w:hAnsi="仿宋" w:eastAsia="仿宋" w:cs="仿宋"/>
          <w:color w:val="auto"/>
          <w:sz w:val="32"/>
          <w:szCs w:val="32"/>
          <w:lang w:val="en-US" w:eastAsia="zh-CN"/>
        </w:rPr>
        <w:t>附件：</w:t>
      </w:r>
      <w:r>
        <w:rPr>
          <w:rFonts w:hint="eastAsia" w:ascii="仿宋" w:hAnsi="仿宋" w:eastAsia="仿宋" w:cs="仿宋"/>
          <w:bCs/>
          <w:sz w:val="32"/>
          <w:szCs w:val="32"/>
        </w:rPr>
        <w:t>北关区20</w:t>
      </w:r>
      <w:r>
        <w:rPr>
          <w:rFonts w:hint="eastAsia" w:ascii="仿宋" w:hAnsi="仿宋" w:eastAsia="仿宋" w:cs="仿宋"/>
          <w:bCs/>
          <w:sz w:val="32"/>
          <w:szCs w:val="32"/>
          <w:lang w:val="en-US" w:eastAsia="zh-CN"/>
        </w:rPr>
        <w:t>21-2023</w:t>
      </w:r>
      <w:r>
        <w:rPr>
          <w:rFonts w:hint="eastAsia" w:ascii="仿宋" w:hAnsi="仿宋" w:eastAsia="仿宋" w:cs="仿宋"/>
          <w:bCs/>
          <w:sz w:val="32"/>
          <w:szCs w:val="32"/>
        </w:rPr>
        <w:t>年农业机械购置补贴实施方案</w:t>
      </w:r>
    </w:p>
    <w:p>
      <w:pPr>
        <w:keepNext w:val="0"/>
        <w:keepLines w:val="0"/>
        <w:pageBreakBefore w:val="0"/>
        <w:kinsoku/>
        <w:overflowPunct/>
        <w:topLinePunct w:val="0"/>
        <w:bidi w:val="0"/>
        <w:spacing w:line="590" w:lineRule="exact"/>
        <w:textAlignment w:val="auto"/>
        <w:outlineLvl w:val="9"/>
        <w:rPr>
          <w:rFonts w:hint="eastAsia" w:ascii="仿宋" w:hAnsi="仿宋" w:eastAsia="仿宋" w:cs="仿宋"/>
          <w:color w:val="auto"/>
          <w:sz w:val="32"/>
          <w:szCs w:val="32"/>
          <w:lang w:val="en-US" w:eastAsia="zh-CN"/>
        </w:rPr>
      </w:pPr>
    </w:p>
    <w:p>
      <w:pPr>
        <w:widowControl/>
        <w:shd w:val="clear" w:color="auto" w:fill="FFFFFF"/>
        <w:spacing w:after="240"/>
        <w:jc w:val="center"/>
        <w:rPr>
          <w:rFonts w:hint="eastAsia" w:ascii="仿宋" w:hAnsi="仿宋" w:eastAsia="仿宋" w:cs="仿宋"/>
          <w:color w:val="333333"/>
          <w:kern w:val="0"/>
          <w:sz w:val="32"/>
          <w:szCs w:val="32"/>
          <w:lang w:val="en-US" w:eastAsia="zh-CN"/>
        </w:rPr>
      </w:pPr>
    </w:p>
    <w:p>
      <w:pPr>
        <w:widowControl/>
        <w:shd w:val="clear" w:color="auto" w:fill="FFFFFF"/>
        <w:spacing w:after="240"/>
        <w:ind w:firstLine="1280" w:firstLineChars="4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农业农村</w:t>
      </w:r>
      <w:r>
        <w:rPr>
          <w:rFonts w:hint="eastAsia" w:ascii="仿宋" w:hAnsi="仿宋" w:eastAsia="仿宋" w:cs="仿宋"/>
          <w:color w:val="333333"/>
          <w:kern w:val="0"/>
          <w:sz w:val="32"/>
          <w:szCs w:val="32"/>
          <w:lang w:val="en-US" w:eastAsia="zh-CN"/>
        </w:rPr>
        <w:t>局</w:t>
      </w: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财政</w:t>
      </w:r>
      <w:r>
        <w:rPr>
          <w:rFonts w:hint="eastAsia" w:ascii="仿宋" w:hAnsi="仿宋" w:eastAsia="仿宋" w:cs="仿宋"/>
          <w:color w:val="333333"/>
          <w:kern w:val="0"/>
          <w:sz w:val="32"/>
          <w:szCs w:val="32"/>
          <w:lang w:val="en-US" w:eastAsia="zh-CN"/>
        </w:rPr>
        <w:t>局</w:t>
      </w:r>
    </w:p>
    <w:p>
      <w:pPr>
        <w:keepNext w:val="0"/>
        <w:keepLines w:val="0"/>
        <w:pageBreakBefore w:val="0"/>
        <w:kinsoku/>
        <w:overflowPunct/>
        <w:topLinePunct w:val="0"/>
        <w:bidi w:val="0"/>
        <w:spacing w:line="590" w:lineRule="exact"/>
        <w:ind w:firstLine="4800" w:firstLineChars="15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both"/>
        <w:rPr>
          <w:rFonts w:hint="eastAsia" w:ascii="仿宋_GB2312" w:hAnsi="仿宋_GB2312" w:eastAsia="仿宋_GB2312" w:cs="仿宋_GB2312"/>
          <w:bCs/>
          <w:sz w:val="32"/>
          <w:szCs w:val="32"/>
          <w:lang w:val="en-US" w:eastAsia="zh-CN"/>
        </w:rPr>
      </w:pPr>
    </w:p>
    <w:p>
      <w:pPr>
        <w:spacing w:line="590" w:lineRule="exact"/>
        <w:jc w:val="both"/>
        <w:rPr>
          <w:rFonts w:hint="eastAsia" w:ascii="仿宋_GB2312" w:hAnsi="仿宋_GB2312" w:eastAsia="仿宋_GB2312" w:cs="仿宋_GB2312"/>
          <w:bCs/>
          <w:sz w:val="32"/>
          <w:szCs w:val="32"/>
          <w:lang w:val="en-US" w:eastAsia="zh-CN"/>
        </w:rPr>
      </w:pPr>
    </w:p>
    <w:p>
      <w:pPr>
        <w:spacing w:line="590" w:lineRule="exact"/>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pPr>
        <w:spacing w:line="590" w:lineRule="exact"/>
        <w:jc w:val="center"/>
        <w:rPr>
          <w:rFonts w:hint="eastAsia" w:ascii="黑体" w:hAnsi="黑体" w:eastAsia="黑体" w:cs="黑体"/>
          <w:bCs/>
          <w:sz w:val="44"/>
          <w:szCs w:val="36"/>
        </w:rPr>
      </w:pPr>
      <w:r>
        <w:rPr>
          <w:rFonts w:hint="eastAsia" w:ascii="黑体" w:hAnsi="黑体" w:eastAsia="黑体" w:cs="黑体"/>
          <w:bCs/>
          <w:sz w:val="44"/>
          <w:szCs w:val="36"/>
        </w:rPr>
        <w:t>北关区20</w:t>
      </w:r>
      <w:r>
        <w:rPr>
          <w:rFonts w:hint="eastAsia" w:ascii="黑体" w:hAnsi="黑体" w:eastAsia="黑体" w:cs="黑体"/>
          <w:bCs/>
          <w:sz w:val="44"/>
          <w:szCs w:val="36"/>
          <w:lang w:val="en-US" w:eastAsia="zh-CN"/>
        </w:rPr>
        <w:t>21-2023</w:t>
      </w:r>
      <w:r>
        <w:rPr>
          <w:rFonts w:hint="eastAsia" w:ascii="黑体" w:hAnsi="黑体" w:eastAsia="黑体" w:cs="黑体"/>
          <w:bCs/>
          <w:sz w:val="44"/>
          <w:szCs w:val="36"/>
        </w:rPr>
        <w:t>年农机购置</w:t>
      </w:r>
    </w:p>
    <w:p>
      <w:pPr>
        <w:spacing w:line="590" w:lineRule="exact"/>
        <w:jc w:val="center"/>
        <w:rPr>
          <w:rFonts w:hint="eastAsia" w:ascii="黑体" w:hAnsi="黑体" w:eastAsia="黑体" w:cs="黑体"/>
          <w:bCs/>
          <w:sz w:val="44"/>
          <w:szCs w:val="36"/>
        </w:rPr>
      </w:pPr>
      <w:r>
        <w:rPr>
          <w:rFonts w:hint="eastAsia" w:ascii="黑体" w:hAnsi="黑体" w:eastAsia="黑体" w:cs="黑体"/>
          <w:bCs/>
          <w:sz w:val="44"/>
          <w:szCs w:val="36"/>
        </w:rPr>
        <w:t>补贴实施方案</w:t>
      </w:r>
    </w:p>
    <w:p>
      <w:pPr>
        <w:spacing w:line="590" w:lineRule="exact"/>
        <w:rPr>
          <w:rFonts w:hint="eastAsia" w:ascii="仿宋_GB2312" w:hAnsi="Times New Roman" w:eastAsia="仿宋_GB2312" w:cs="Times New Roman"/>
          <w:sz w:val="32"/>
          <w:szCs w:val="30"/>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为更好满足农民群众农业生产购机需求，提高农业生产机械化水平，根据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厅</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w:t>
      </w:r>
      <w:r>
        <w:rPr>
          <w:rFonts w:hint="eastAsia" w:ascii="仿宋" w:hAnsi="仿宋" w:eastAsia="仿宋"/>
          <w:sz w:val="32"/>
          <w:szCs w:val="32"/>
        </w:rPr>
        <w:t>要求</w:t>
      </w:r>
      <w:r>
        <w:rPr>
          <w:rFonts w:hint="eastAsia" w:ascii="仿宋_GB2312" w:hAnsi="仿宋_GB2312" w:eastAsia="仿宋_GB2312" w:cs="仿宋_GB2312"/>
          <w:sz w:val="32"/>
          <w:szCs w:val="32"/>
        </w:rPr>
        <w:t>及有关农机购置补贴工作的文件精神</w:t>
      </w:r>
      <w:r>
        <w:rPr>
          <w:rFonts w:hint="eastAsia" w:ascii="仿宋" w:hAnsi="仿宋" w:eastAsia="仿宋"/>
          <w:sz w:val="32"/>
          <w:szCs w:val="32"/>
        </w:rPr>
        <w:t>，结合我</w:t>
      </w:r>
      <w:r>
        <w:rPr>
          <w:rFonts w:hint="eastAsia" w:ascii="仿宋" w:hAnsi="仿宋" w:eastAsia="仿宋"/>
          <w:sz w:val="32"/>
          <w:szCs w:val="32"/>
          <w:lang w:val="en-US" w:eastAsia="zh-CN"/>
        </w:rPr>
        <w:t>区</w:t>
      </w:r>
      <w:r>
        <w:rPr>
          <w:rFonts w:hint="eastAsia" w:ascii="仿宋" w:hAnsi="仿宋" w:eastAsia="仿宋"/>
          <w:sz w:val="32"/>
          <w:szCs w:val="32"/>
        </w:rPr>
        <w:t>实际，制定本</w:t>
      </w:r>
      <w:r>
        <w:rPr>
          <w:rFonts w:hint="eastAsia" w:ascii="仿宋" w:hAnsi="仿宋" w:eastAsia="仿宋"/>
          <w:sz w:val="32"/>
          <w:szCs w:val="32"/>
          <w:lang w:val="en-US" w:eastAsia="zh-CN"/>
        </w:rPr>
        <w:t>方案</w:t>
      </w:r>
      <w:r>
        <w:rPr>
          <w:rFonts w:hint="eastAsia" w:ascii="仿宋" w:hAnsi="仿宋" w:eastAsia="仿宋"/>
          <w:sz w:val="32"/>
          <w:szCs w:val="32"/>
        </w:rPr>
        <w:t>。</w:t>
      </w:r>
    </w:p>
    <w:p>
      <w:pPr>
        <w:pStyle w:val="5"/>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宋体"/>
          <w:kern w:val="0"/>
          <w:sz w:val="32"/>
          <w:szCs w:val="32"/>
          <w:lang w:val="en-US" w:eastAsia="zh-CN"/>
        </w:rPr>
        <w:t>根据2021-2023年河南省农机购置补贴机具种类范围，结合我区农业生产实际需求，确定我区</w:t>
      </w:r>
      <w:r>
        <w:rPr>
          <w:rFonts w:hint="eastAsia" w:ascii="仿宋" w:hAnsi="仿宋" w:eastAsia="仿宋"/>
          <w:sz w:val="32"/>
          <w:szCs w:val="32"/>
        </w:rPr>
        <w:t>补贴</w:t>
      </w:r>
      <w:r>
        <w:rPr>
          <w:rFonts w:hint="eastAsia" w:ascii="仿宋" w:hAnsi="仿宋" w:eastAsia="仿宋"/>
          <w:sz w:val="32"/>
          <w:szCs w:val="32"/>
          <w:lang w:val="en-US" w:eastAsia="zh-CN"/>
        </w:rPr>
        <w:t>机具</w:t>
      </w:r>
      <w:r>
        <w:rPr>
          <w:rFonts w:hint="eastAsia" w:ascii="仿宋" w:hAnsi="仿宋" w:eastAsia="仿宋"/>
          <w:sz w:val="32"/>
          <w:szCs w:val="32"/>
        </w:rPr>
        <w:t>范围</w:t>
      </w:r>
      <w:r>
        <w:rPr>
          <w:rFonts w:hint="eastAsia" w:ascii="仿宋" w:hAnsi="仿宋" w:eastAsia="仿宋"/>
          <w:sz w:val="32"/>
          <w:szCs w:val="32"/>
          <w:lang w:val="en-US" w:eastAsia="zh-CN"/>
        </w:rPr>
        <w:t>为</w:t>
      </w:r>
      <w:r>
        <w:rPr>
          <w:rFonts w:hint="eastAsia" w:ascii="仿宋" w:hAnsi="仿宋" w:eastAsia="仿宋"/>
          <w:sz w:val="32"/>
          <w:szCs w:val="32"/>
        </w:rPr>
        <w:t>15大类4</w:t>
      </w:r>
      <w:r>
        <w:rPr>
          <w:rFonts w:hint="eastAsia" w:ascii="仿宋" w:hAnsi="仿宋" w:eastAsia="仿宋"/>
          <w:sz w:val="32"/>
          <w:szCs w:val="32"/>
          <w:lang w:val="en-US" w:eastAsia="zh-CN"/>
        </w:rPr>
        <w:t>1</w:t>
      </w:r>
      <w:r>
        <w:rPr>
          <w:rFonts w:hint="eastAsia" w:ascii="仿宋" w:hAnsi="仿宋" w:eastAsia="仿宋"/>
          <w:sz w:val="32"/>
          <w:szCs w:val="32"/>
        </w:rPr>
        <w:t>个小类</w:t>
      </w:r>
      <w:r>
        <w:rPr>
          <w:rFonts w:hint="eastAsia" w:ascii="仿宋" w:hAnsi="仿宋" w:eastAsia="仿宋"/>
          <w:sz w:val="32"/>
          <w:szCs w:val="32"/>
          <w:lang w:val="en-US" w:eastAsia="zh-CN"/>
        </w:rPr>
        <w:t>147</w:t>
      </w:r>
      <w:r>
        <w:rPr>
          <w:rFonts w:hint="eastAsia" w:ascii="仿宋" w:hAnsi="仿宋" w:eastAsia="仿宋"/>
          <w:sz w:val="32"/>
          <w:szCs w:val="32"/>
        </w:rPr>
        <w:t>个品目（详见附件）。</w:t>
      </w:r>
    </w:p>
    <w:p>
      <w:pPr>
        <w:adjustRightInd w:val="0"/>
        <w:snapToGrid w:val="0"/>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实行补贴范围内机具敞开补贴。要</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r>
        <w:rPr>
          <w:rFonts w:ascii="仿宋" w:hAnsi="仿宋" w:eastAsia="仿宋" w:cs="仿宋_GB2312"/>
          <w:sz w:val="32"/>
          <w:szCs w:val="32"/>
        </w:rPr>
        <w:t>按年度</w:t>
      </w:r>
      <w:r>
        <w:rPr>
          <w:rFonts w:hint="eastAsia" w:ascii="仿宋" w:hAnsi="仿宋" w:eastAsia="仿宋" w:cs="仿宋_GB2312"/>
          <w:sz w:val="32"/>
          <w:szCs w:val="32"/>
        </w:rPr>
        <w:t>将区域内保有量明显过多、技术相对落后的机具品目剔除出补贴</w:t>
      </w:r>
      <w:r>
        <w:rPr>
          <w:rFonts w:ascii="仿宋" w:hAnsi="仿宋" w:eastAsia="仿宋" w:cs="仿宋_GB2312"/>
          <w:sz w:val="32"/>
          <w:szCs w:val="32"/>
        </w:rPr>
        <w:t>范围。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在我区办理</w:t>
      </w:r>
      <w:r>
        <w:rPr>
          <w:rFonts w:hint="eastAsia" w:ascii="仿宋" w:hAnsi="仿宋" w:eastAsia="仿宋" w:cs="仿宋_GB2312"/>
          <w:sz w:val="32"/>
          <w:szCs w:val="32"/>
        </w:rPr>
        <w:t>补贴</w:t>
      </w:r>
      <w:r>
        <w:rPr>
          <w:rFonts w:hint="eastAsia" w:ascii="仿宋" w:hAnsi="仿宋" w:eastAsia="仿宋" w:cs="仿宋_GB2312"/>
          <w:sz w:val="32"/>
          <w:szCs w:val="32"/>
          <w:lang w:val="en-US" w:eastAsia="zh-CN"/>
        </w:rPr>
        <w:t>申请的</w:t>
      </w:r>
      <w:r>
        <w:rPr>
          <w:rFonts w:hint="eastAsia" w:ascii="仿宋" w:hAnsi="仿宋" w:eastAsia="仿宋" w:cs="仿宋_GB2312"/>
          <w:sz w:val="32"/>
          <w:szCs w:val="32"/>
        </w:rPr>
        <w:t>机具必须是补贴范围内的产品（农机专项鉴定产品、农机新产品除外），同时还应具备以下资质之一：（1）获得农业机械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pStyle w:val="5"/>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65"/>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执行。要</w:t>
      </w:r>
      <w:r>
        <w:rPr>
          <w:rFonts w:ascii="仿宋" w:hAnsi="仿宋" w:eastAsia="仿宋" w:cs="仿宋_GB2312"/>
          <w:color w:val="000000"/>
          <w:sz w:val="32"/>
          <w:szCs w:val="32"/>
        </w:rPr>
        <w:t>全面公开农机购置补贴机具补贴额一览表，加强宣传，引导购机者根据各档次的补贴定额自主议价。</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pStyle w:val="5"/>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、资金</w:t>
      </w:r>
      <w:r>
        <w:rPr>
          <w:rFonts w:hint="eastAsia" w:ascii="黑体" w:hAnsi="黑体" w:eastAsia="黑体" w:cs="黑体"/>
          <w:color w:val="000000"/>
          <w:sz w:val="32"/>
          <w:szCs w:val="32"/>
          <w:lang w:val="en-US" w:eastAsia="zh-CN"/>
        </w:rPr>
        <w:t>规模</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当年度下达我区中央财政农机购置补贴资金加上上年度结余资金之和为本年度补贴资金。</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仿宋_GB2312"/>
          <w:color w:val="000000"/>
          <w:sz w:val="32"/>
          <w:szCs w:val="32"/>
        </w:rPr>
        <w:t>财政部门会同</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加强资金</w:t>
      </w:r>
      <w:r>
        <w:rPr>
          <w:rFonts w:ascii="仿宋" w:hAnsi="仿宋" w:eastAsia="仿宋" w:cs="仿宋_GB2312"/>
          <w:color w:val="000000"/>
          <w:sz w:val="32"/>
          <w:szCs w:val="32"/>
        </w:rPr>
        <w:t>监</w:t>
      </w:r>
      <w:r>
        <w:rPr>
          <w:rFonts w:hint="eastAsia" w:ascii="仿宋" w:hAnsi="仿宋" w:eastAsia="仿宋" w:cs="仿宋_GB2312"/>
          <w:color w:val="000000"/>
          <w:sz w:val="32"/>
          <w:szCs w:val="32"/>
          <w:lang w:val="en-US" w:eastAsia="zh-CN"/>
        </w:rPr>
        <w:t>管</w:t>
      </w:r>
      <w:r>
        <w:rPr>
          <w:rFonts w:hint="eastAsia" w:ascii="仿宋" w:hAnsi="仿宋" w:eastAsia="仿宋" w:cs="仿宋_GB2312"/>
          <w:color w:val="000000"/>
          <w:sz w:val="32"/>
          <w:szCs w:val="32"/>
        </w:rPr>
        <w:t>，定期发布资金使用进度，</w:t>
      </w:r>
      <w:r>
        <w:rPr>
          <w:rFonts w:ascii="仿宋" w:hAnsi="仿宋" w:eastAsia="仿宋" w:cs="仿宋_GB2312"/>
          <w:color w:val="000000"/>
          <w:sz w:val="32"/>
          <w:szCs w:val="32"/>
        </w:rPr>
        <w:t>优先使用结转资金，</w:t>
      </w:r>
      <w:r>
        <w:rPr>
          <w:rFonts w:hint="eastAsia" w:ascii="仿宋" w:hAnsi="仿宋" w:eastAsia="仿宋" w:cs="仿宋_GB2312"/>
          <w:color w:val="000000"/>
          <w:sz w:val="32"/>
          <w:szCs w:val="32"/>
          <w:lang w:val="en-US" w:eastAsia="zh-CN"/>
        </w:rPr>
        <w:t>配合上级部门开展资金</w:t>
      </w:r>
      <w:r>
        <w:rPr>
          <w:rFonts w:hint="eastAsia" w:ascii="仿宋" w:hAnsi="仿宋" w:eastAsia="仿宋" w:cs="仿宋_GB2312"/>
          <w:sz w:val="32"/>
          <w:szCs w:val="32"/>
        </w:rPr>
        <w:t>余缺调剂，</w:t>
      </w:r>
      <w:r>
        <w:rPr>
          <w:rFonts w:hint="eastAsia" w:ascii="仿宋" w:hAnsi="仿宋" w:eastAsia="仿宋" w:cs="仿宋_GB2312"/>
          <w:sz w:val="32"/>
          <w:szCs w:val="32"/>
          <w:lang w:val="en-US" w:eastAsia="zh-CN"/>
        </w:rPr>
        <w:t>避免出现</w:t>
      </w:r>
      <w:r>
        <w:rPr>
          <w:rFonts w:hint="eastAsia" w:ascii="仿宋" w:hAnsi="仿宋" w:eastAsia="仿宋" w:cs="仿宋_GB2312"/>
          <w:sz w:val="32"/>
          <w:szCs w:val="32"/>
        </w:rPr>
        <w:t>资金大量结转。</w:t>
      </w:r>
      <w:r>
        <w:rPr>
          <w:rFonts w:hint="eastAsia" w:ascii="仿宋" w:hAnsi="仿宋" w:eastAsia="仿宋"/>
          <w:sz w:val="32"/>
          <w:szCs w:val="32"/>
        </w:rPr>
        <w:t>上年结转的农机购置补贴资金可继续在下年使用，连续两年未用完的结转资金，按有关规定处理。</w:t>
      </w:r>
      <w:r>
        <w:rPr>
          <w:rFonts w:hint="eastAsia" w:eastAsia="仿宋"/>
          <w:sz w:val="32"/>
          <w:szCs w:val="32"/>
        </w:rPr>
        <w:t> </w:t>
      </w:r>
    </w:p>
    <w:p>
      <w:pPr>
        <w:pStyle w:val="5"/>
        <w:widowControl w:val="0"/>
        <w:snapToGrid w:val="0"/>
        <w:spacing w:before="0" w:beforeAutospacing="0" w:after="0" w:afterAutospacing="0" w:line="360" w:lineRule="auto"/>
        <w:ind w:firstLine="640"/>
        <w:jc w:val="both"/>
        <w:rPr>
          <w:rFonts w:hint="eastAsia" w:ascii="仿宋" w:hAnsi="仿宋" w:eastAsia="仿宋" w:cs="宋体"/>
          <w:kern w:val="0"/>
          <w:sz w:val="32"/>
          <w:szCs w:val="32"/>
        </w:rPr>
      </w:pPr>
      <w:r>
        <w:rPr>
          <w:rFonts w:hint="eastAsia" w:ascii="仿宋" w:hAnsi="仿宋" w:eastAsia="仿宋"/>
          <w:sz w:val="32"/>
          <w:szCs w:val="32"/>
        </w:rPr>
        <w:t>农机购置补贴政策继续</w:t>
      </w:r>
      <w:r>
        <w:rPr>
          <w:rFonts w:hint="eastAsia" w:ascii="仿宋" w:hAnsi="仿宋" w:eastAsia="仿宋"/>
          <w:sz w:val="32"/>
          <w:szCs w:val="32"/>
          <w:lang w:val="en-US" w:eastAsia="zh-CN"/>
        </w:rPr>
        <w:t>在</w:t>
      </w:r>
      <w:r>
        <w:rPr>
          <w:rFonts w:hint="eastAsia" w:ascii="仿宋" w:hAnsi="仿宋" w:eastAsia="仿宋" w:cs="仿宋"/>
          <w:sz w:val="32"/>
          <w:szCs w:val="32"/>
        </w:rPr>
        <w:t>彰北、彰东街道办事处、中原高新区和柏庄镇实施</w:t>
      </w:r>
      <w:r>
        <w:rPr>
          <w:rFonts w:hint="eastAsia" w:ascii="仿宋" w:hAnsi="仿宋" w:eastAsia="仿宋"/>
          <w:sz w:val="32"/>
          <w:szCs w:val="32"/>
        </w:rPr>
        <w:t>。</w:t>
      </w:r>
      <w:r>
        <w:rPr>
          <w:rFonts w:hint="eastAsia" w:ascii="仿宋" w:hAnsi="仿宋" w:eastAsia="仿宋" w:cs="宋体"/>
          <w:color w:val="000000"/>
          <w:kern w:val="0"/>
          <w:sz w:val="32"/>
          <w:szCs w:val="32"/>
        </w:rPr>
        <w:t>积极开展农机报废更新补贴</w:t>
      </w:r>
      <w:r>
        <w:rPr>
          <w:rFonts w:hint="eastAsia" w:ascii="仿宋" w:hAnsi="仿宋" w:eastAsia="仿宋" w:cs="宋体"/>
          <w:color w:val="000000"/>
          <w:kern w:val="0"/>
          <w:sz w:val="32"/>
          <w:szCs w:val="32"/>
          <w:lang w:val="en-US" w:eastAsia="zh-CN"/>
        </w:rPr>
        <w:t>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仿宋_GB2312"/>
          <w:color w:val="000000"/>
          <w:sz w:val="32"/>
          <w:szCs w:val="32"/>
        </w:rPr>
        <w:t>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北关区农业农村局</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财政</w:t>
      </w:r>
      <w:r>
        <w:rPr>
          <w:rFonts w:hint="eastAsia" w:ascii="仿宋" w:hAnsi="仿宋" w:eastAsia="仿宋" w:cs="仿宋_GB2312"/>
          <w:color w:val="000000"/>
          <w:sz w:val="32"/>
          <w:szCs w:val="32"/>
          <w:lang w:val="en-US" w:eastAsia="zh-CN"/>
        </w:rPr>
        <w:t>局</w:t>
      </w:r>
      <w:r>
        <w:rPr>
          <w:rFonts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商务</w:t>
      </w:r>
      <w:r>
        <w:rPr>
          <w:rFonts w:hint="eastAsia" w:ascii="仿宋" w:hAnsi="仿宋" w:eastAsia="仿宋" w:cs="仿宋_GB2312"/>
          <w:color w:val="000000"/>
          <w:sz w:val="32"/>
          <w:szCs w:val="32"/>
          <w:lang w:val="en-US" w:eastAsia="zh-CN"/>
        </w:rPr>
        <w:t>局</w:t>
      </w:r>
      <w:r>
        <w:rPr>
          <w:rFonts w:hint="eastAsia" w:ascii="仿宋" w:hAnsi="仿宋" w:eastAsia="仿宋" w:cs="仿宋_GB2312"/>
          <w:color w:val="000000"/>
          <w:sz w:val="32"/>
          <w:szCs w:val="32"/>
        </w:rPr>
        <w:t>关于印发〈</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农业机械报废更新补贴实施</w:t>
      </w:r>
      <w:r>
        <w:rPr>
          <w:rFonts w:hint="eastAsia" w:ascii="仿宋" w:hAnsi="仿宋" w:eastAsia="仿宋" w:cs="仿宋_GB2312"/>
          <w:color w:val="000000"/>
          <w:sz w:val="32"/>
          <w:szCs w:val="32"/>
          <w:lang w:val="en-US" w:eastAsia="zh-CN"/>
        </w:rPr>
        <w:t>方案</w:t>
      </w:r>
      <w:r>
        <w:rPr>
          <w:rFonts w:hint="eastAsia" w:ascii="仿宋" w:hAnsi="仿宋" w:eastAsia="仿宋" w:cs="仿宋_GB2312"/>
          <w:color w:val="000000"/>
          <w:sz w:val="32"/>
          <w:szCs w:val="32"/>
        </w:rPr>
        <w:t>〉的通知》（</w:t>
      </w:r>
      <w:r>
        <w:rPr>
          <w:rFonts w:hint="eastAsia" w:ascii="仿宋" w:hAnsi="仿宋" w:eastAsia="仿宋" w:cs="仿宋_GB2312"/>
          <w:color w:val="000000"/>
          <w:sz w:val="32"/>
          <w:szCs w:val="32"/>
          <w:lang w:val="en-US" w:eastAsia="zh-CN"/>
        </w:rPr>
        <w:t>北</w:t>
      </w:r>
      <w:r>
        <w:rPr>
          <w:rFonts w:hint="eastAsia" w:ascii="仿宋" w:hAnsi="仿宋" w:eastAsia="仿宋" w:cs="仿宋_GB2312"/>
          <w:color w:val="000000"/>
          <w:sz w:val="32"/>
          <w:szCs w:val="32"/>
        </w:rPr>
        <w:t>农〔2020〕</w:t>
      </w:r>
      <w:r>
        <w:rPr>
          <w:rFonts w:hint="eastAsia" w:ascii="仿宋" w:hAnsi="仿宋" w:eastAsia="仿宋" w:cs="仿宋_GB2312"/>
          <w:color w:val="000000"/>
          <w:sz w:val="32"/>
          <w:szCs w:val="32"/>
          <w:lang w:val="en-US" w:eastAsia="zh-CN"/>
        </w:rPr>
        <w:t>101</w:t>
      </w:r>
      <w:r>
        <w:rPr>
          <w:rFonts w:hint="eastAsia" w:ascii="仿宋" w:hAnsi="仿宋" w:eastAsia="仿宋" w:cs="仿宋_GB2312"/>
          <w:color w:val="000000"/>
          <w:sz w:val="32"/>
          <w:szCs w:val="32"/>
        </w:rPr>
        <w:t>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r>
        <w:rPr>
          <w:rFonts w:hint="eastAsia" w:ascii="仿宋" w:hAnsi="仿宋" w:eastAsia="仿宋" w:cs="宋体"/>
          <w:color w:val="000000"/>
          <w:kern w:val="0"/>
          <w:sz w:val="32"/>
          <w:szCs w:val="32"/>
        </w:rPr>
        <w:t>鼓励采取融资租赁、贴息贷款等形式购置大型农业机械。</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5"/>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val="en-US" w:eastAsia="zh-CN"/>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购机者可通过手机App或自主到区农业农村（农机）部门提出申请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_GB2312"/>
          <w:color w:val="000000"/>
          <w:sz w:val="32"/>
          <w:szCs w:val="32"/>
          <w:lang w:val="en-US" w:eastAsia="zh-CN"/>
        </w:rPr>
        <w:t>补贴申请时，购机者需提供以下资料：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1、有</w:t>
      </w:r>
      <w:r>
        <w:rPr>
          <w:rFonts w:hint="eastAsia" w:ascii="仿宋" w:hAnsi="仿宋" w:eastAsia="仿宋" w:cs="仿宋_GB2312"/>
          <w:color w:val="000000"/>
          <w:sz w:val="32"/>
          <w:szCs w:val="32"/>
        </w:rPr>
        <w:t>效身份证明（个人凭身份证，农业生产经营组织凭工商营业执照或组织机构代码证）</w:t>
      </w:r>
      <w:r>
        <w:rPr>
          <w:rFonts w:hint="eastAsia" w:ascii="仿宋" w:hAnsi="仿宋" w:eastAsia="仿宋" w:cs="仿宋_GB2312"/>
          <w:color w:val="00000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2、购机发票、合格证</w:t>
      </w:r>
      <w:r>
        <w:rPr>
          <w:rFonts w:hint="eastAsia" w:ascii="仿宋" w:hAnsi="仿宋" w:eastAsia="仿宋"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3、牌照管理机具行驶证</w:t>
      </w:r>
      <w:r>
        <w:rPr>
          <w:rFonts w:hint="eastAsia" w:ascii="仿宋" w:hAnsi="仿宋" w:eastAsia="仿宋" w:cs="仿宋_GB2312"/>
          <w:color w:val="000000"/>
          <w:sz w:val="32"/>
          <w:szCs w:val="32"/>
          <w:lang w:val="en-US" w:eastAsia="zh-CN"/>
        </w:rPr>
        <w:t>或登记证书</w:t>
      </w:r>
      <w:r>
        <w:rPr>
          <w:rFonts w:hint="eastAsia" w:ascii="仿宋" w:hAnsi="仿宋" w:eastAsia="仿宋"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级</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农业农村（农机）部门提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补贴资金按照“先购机后申请、先申请先补贴、后申请后补贴、不申请不补贴、资金补完为止</w:t>
      </w:r>
      <w:r>
        <w:rPr>
          <w:rFonts w:hint="default" w:ascii="仿宋" w:hAnsi="仿宋" w:eastAsia="仿宋" w:cs="仿宋_GB2312"/>
          <w:color w:val="000000"/>
          <w:sz w:val="32"/>
          <w:szCs w:val="32"/>
          <w:lang w:val="en-US" w:eastAsia="zh-CN"/>
        </w:rPr>
        <w:t>”</w:t>
      </w:r>
      <w:r>
        <w:rPr>
          <w:rFonts w:hint="eastAsia" w:ascii="仿宋" w:hAnsi="仿宋" w:eastAsia="仿宋" w:cs="仿宋_GB2312"/>
          <w:color w:val="000000"/>
          <w:sz w:val="32"/>
          <w:szCs w:val="32"/>
          <w:lang w:val="en-US" w:eastAsia="zh-CN"/>
        </w:rPr>
        <w:t>方式兑付。</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spacing w:line="360" w:lineRule="auto"/>
        <w:ind w:firstLine="640" w:firstLineChars="200"/>
        <w:rPr>
          <w:rFonts w:hint="eastAsia" w:ascii="仿宋" w:hAnsi="仿宋" w:eastAsia="仿宋" w:cs="仿宋"/>
          <w:bCs/>
          <w:strike/>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p>
    <w:p>
      <w:pPr>
        <w:pStyle w:val="5"/>
        <w:widowControl w:val="0"/>
        <w:numPr>
          <w:ilvl w:val="0"/>
          <w:numId w:val="0"/>
        </w:numPr>
        <w:snapToGrid w:val="0"/>
        <w:spacing w:before="0" w:beforeAutospacing="0" w:after="0" w:afterAutospacing="0" w:line="360" w:lineRule="auto"/>
        <w:ind w:firstLine="640" w:firstLineChars="200"/>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六、</w:t>
      </w:r>
      <w:r>
        <w:rPr>
          <w:rFonts w:hint="eastAsia" w:ascii="黑体" w:hAnsi="黑体" w:eastAsia="黑体" w:cs="仿宋_GB2312"/>
          <w:color w:val="000000"/>
          <w:sz w:val="32"/>
          <w:szCs w:val="32"/>
        </w:rPr>
        <w:t>实施要求</w:t>
      </w:r>
    </w:p>
    <w:p>
      <w:pPr>
        <w:pStyle w:val="5"/>
        <w:widowControl w:val="0"/>
        <w:numPr>
          <w:ilvl w:val="0"/>
          <w:numId w:val="0"/>
        </w:numPr>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楷体"/>
          <w:color w:val="000000"/>
          <w:sz w:val="32"/>
          <w:szCs w:val="32"/>
          <w:lang w:val="en-US" w:eastAsia="zh-CN"/>
        </w:rPr>
        <w:t>区</w:t>
      </w:r>
      <w:r>
        <w:rPr>
          <w:rFonts w:hint="eastAsia" w:ascii="仿宋" w:hAnsi="仿宋" w:eastAsia="仿宋" w:cs="仿宋_GB2312"/>
          <w:color w:val="000000"/>
          <w:sz w:val="32"/>
          <w:szCs w:val="32"/>
        </w:rPr>
        <w:t>级农业农村(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级农业农村（农机）部门组织实施、审核和监管责任和财政部门资金兑付、资金监管责任。要加强绩效管理，形成管理闭环，切实提升政策实施管理工作能力水平。</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市县要依托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基层农业农村（农机）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rPr>
        <w:t>农业农村(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5"/>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要全面贯彻本通知和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widowControl/>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21-2023</w:t>
      </w:r>
      <w:r>
        <w:rPr>
          <w:rFonts w:hint="eastAsia" w:ascii="仿宋_GB2312" w:hAnsi="仿宋_GB2312" w:eastAsia="仿宋_GB2312" w:cs="仿宋_GB2312"/>
          <w:kern w:val="0"/>
          <w:sz w:val="32"/>
          <w:szCs w:val="32"/>
        </w:rPr>
        <w:t>年北关区农机购置补贴机具种类范围</w:t>
      </w:r>
    </w:p>
    <w:p>
      <w:pPr>
        <w:widowControl/>
        <w:numPr>
          <w:ilvl w:val="0"/>
          <w:numId w:val="0"/>
        </w:numPr>
        <w:wordWrap/>
        <w:spacing w:line="590" w:lineRule="exact"/>
        <w:jc w:val="left"/>
        <w:rPr>
          <w:rFonts w:hint="eastAsia" w:ascii="仿宋_GB2312" w:hAnsi="仿宋_GB2312" w:eastAsia="仿宋_GB2312" w:cs="仿宋_GB2312"/>
          <w:sz w:val="32"/>
          <w:szCs w:val="32"/>
          <w:lang w:val="en-US" w:eastAsia="zh-CN"/>
        </w:rPr>
      </w:pPr>
    </w:p>
    <w:p>
      <w:pPr>
        <w:adjustRightInd w:val="0"/>
        <w:snapToGrid w:val="0"/>
        <w:spacing w:line="590" w:lineRule="exact"/>
        <w:ind w:firstLine="640" w:firstLineChars="200"/>
        <w:rPr>
          <w:rFonts w:hint="eastAsia" w:ascii="黑体" w:hAnsi="黑体" w:eastAsia="黑体" w:cs="黑体"/>
          <w:bCs/>
          <w:sz w:val="32"/>
          <w:szCs w:val="32"/>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w:t>
      </w: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val="en-US" w:eastAsia="zh-CN"/>
        </w:rPr>
        <w:t>北关区</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w:t>
      </w:r>
      <w:r>
        <w:rPr>
          <w:rFonts w:hint="eastAsia" w:ascii="楷体_GB2312" w:hAnsi="楷体_GB2312" w:eastAsia="楷体_GB2312" w:cs="楷体_GB2312"/>
          <w:sz w:val="32"/>
          <w:szCs w:val="32"/>
          <w:lang w:val="en-US" w:eastAsia="zh-CN" w:bidi="ar"/>
        </w:rPr>
        <w:t>1</w:t>
      </w:r>
      <w:r>
        <w:rPr>
          <w:rFonts w:hint="eastAsia" w:ascii="楷体_GB2312" w:hAnsi="楷体_GB2312" w:eastAsia="楷体_GB2312" w:cs="楷体_GB2312"/>
          <w:sz w:val="32"/>
          <w:szCs w:val="32"/>
          <w:lang w:bidi="ar"/>
        </w:rPr>
        <w:t>个小类</w:t>
      </w:r>
      <w:r>
        <w:rPr>
          <w:rFonts w:hint="eastAsia" w:ascii="楷体_GB2312" w:hAnsi="楷体_GB2312" w:eastAsia="楷体_GB2312" w:cs="楷体_GB2312"/>
          <w:sz w:val="32"/>
          <w:szCs w:val="32"/>
          <w:lang w:val="en-US" w:eastAsia="zh-CN" w:bidi="ar"/>
        </w:rPr>
        <w:t>147</w:t>
      </w:r>
      <w:r>
        <w:rPr>
          <w:rFonts w:hint="eastAsia" w:ascii="楷体_GB2312" w:hAnsi="楷体_GB2312" w:eastAsia="楷体_GB2312" w:cs="楷体_GB2312"/>
          <w:sz w:val="32"/>
          <w:szCs w:val="32"/>
          <w:lang w:bidi="ar"/>
        </w:rPr>
        <w:t>个品目）</w:t>
      </w:r>
    </w:p>
    <w:p>
      <w:pPr>
        <w:rPr>
          <w:rFonts w:hint="eastAsia" w:ascii="仿宋" w:hAnsi="仿宋" w:eastAsia="仿宋"/>
          <w:sz w:val="36"/>
          <w:szCs w:val="36"/>
          <w:lang w:bidi="ar"/>
        </w:rPr>
      </w:pP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精量播种机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整地施肥播种机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2.3.1秧苗移栽机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果树修剪机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枝条切碎机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5"/>
        <w:widowControl w:val="0"/>
        <w:snapToGrid w:val="0"/>
        <w:spacing w:before="0" w:beforeAutospacing="0" w:after="0" w:afterAutospacing="0" w:line="360" w:lineRule="auto"/>
        <w:ind w:firstLine="320" w:firstLineChars="10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果实收获机械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ascii="仿宋" w:hAnsi="仿宋" w:eastAsia="仿宋" w:cs="仿宋_GB2312"/>
          <w:color w:val="000000"/>
          <w:sz w:val="32"/>
          <w:szCs w:val="32"/>
        </w:rPr>
        <w:t>果实捡拾机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.2番茄收获机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ascii="仿宋" w:hAnsi="仿宋" w:eastAsia="仿宋" w:cs="仿宋_GB2312"/>
          <w:color w:val="000000"/>
          <w:sz w:val="32"/>
          <w:szCs w:val="32"/>
        </w:rPr>
        <w:t>.3</w:t>
      </w:r>
      <w:r>
        <w:rPr>
          <w:rFonts w:hint="eastAsia" w:ascii="仿宋" w:hAnsi="仿宋" w:eastAsia="仿宋" w:cs="仿宋_GB2312"/>
          <w:color w:val="000000"/>
          <w:sz w:val="32"/>
          <w:szCs w:val="32"/>
        </w:rPr>
        <w:t>辣椒收获机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蔬菜收获机械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.1果类蔬菜收获机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籽粒作物收获机械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.1油菜籽收获机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.2葵花籽收获机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根茎作物收获机械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.1薯类收获机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.2甜菜收获机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花生收获机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饲料作物收获机械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.1割草机（含果园无人割草机）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.2搂草机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.3打（压）捆机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.4圆草捆包膜机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.5青饲料收获机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茎秆收集处理机械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.1秸秆粉碎还田机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.2高秆作物割晒机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剥壳（去皮）机械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.1玉米剥皮机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.2花生脱壳机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.3干坚果脱壳机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14.1.2履带式拖拉机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水帘降温设备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热水加温系统</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简易保鲜储藏设备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水井钻机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旋耕播种机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大米色选机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杂粮色选机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秸秆膨化机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畜禽粪便发酵处理机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农业用北斗终端及辅助驾驶系统（含渔船用）</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沼气发电机组</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有机肥加工设备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根（块）茎作物收获机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果园作业平台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果园轨道运输机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秸秆收集机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瓜果取籽机</w:t>
      </w:r>
    </w:p>
    <w:p>
      <w:pPr>
        <w:pStyle w:val="5"/>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w:t>
      </w:r>
      <w:r>
        <w:rPr>
          <w:rFonts w:hint="eastAsia" w:ascii="仿宋" w:hAnsi="仿宋" w:eastAsia="仿宋"/>
          <w:sz w:val="32"/>
          <w:szCs w:val="32"/>
          <w:lang w:val="en-US" w:eastAsia="zh-CN"/>
        </w:rPr>
        <w:t>19</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adjustRightInd w:val="0"/>
        <w:snapToGrid w:val="0"/>
        <w:spacing w:line="590" w:lineRule="exact"/>
        <w:rPr>
          <w:rFonts w:hint="eastAsia" w:ascii="仿宋_GB2312" w:hAnsi="仿宋_GB2312" w:eastAsia="仿宋_GB2312" w:cs="仿宋_GB2312"/>
          <w:bCs/>
          <w:sz w:val="32"/>
          <w:szCs w:val="32"/>
        </w:rPr>
      </w:pPr>
    </w:p>
    <w:p>
      <w:pPr>
        <w:adjustRightInd w:val="0"/>
        <w:snapToGrid w:val="0"/>
        <w:spacing w:line="590" w:lineRule="exact"/>
        <w:rPr>
          <w:rFonts w:hint="eastAsia" w:ascii="仿宋_GB2312" w:hAnsi="仿宋_GB2312" w:eastAsia="仿宋_GB2312" w:cs="仿宋_GB2312"/>
          <w:sz w:val="32"/>
          <w:szCs w:val="32"/>
        </w:rPr>
      </w:pPr>
    </w:p>
    <w:p>
      <w:pPr>
        <w:snapToGrid w:val="0"/>
        <w:spacing w:line="590" w:lineRule="exact"/>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bookmarkStart w:id="0" w:name="_GoBack"/>
      <w:bookmarkEnd w:id="0"/>
    </w:p>
    <w:p>
      <w:pPr>
        <w:snapToGrid w:val="0"/>
        <w:spacing w:line="590" w:lineRule="exact"/>
        <w:rPr>
          <w:rFonts w:ascii="仿宋_GB2312" w:hAnsi="Times New Roman" w:eastAsia="仿宋_GB2312" w:cs="Times New Roman"/>
          <w:sz w:val="32"/>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49AB"/>
    <w:rsid w:val="16D45C7D"/>
    <w:rsid w:val="21A048EE"/>
    <w:rsid w:val="2EF3088B"/>
    <w:rsid w:val="2F342F5C"/>
    <w:rsid w:val="514D179B"/>
    <w:rsid w:val="77AE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春花秋月</cp:lastModifiedBy>
  <dcterms:modified xsi:type="dcterms:W3CDTF">2021-08-16T01:22:23Z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E892819F04BC48A8991D3200CD71EC87</vt:lpwstr>
  </property>
</Properties>
</file>