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i w:val="0"/>
          <w:caps w:val="0"/>
          <w:color w:val="3E3E3E"/>
          <w:spacing w:val="0"/>
          <w:sz w:val="32"/>
          <w:szCs w:val="32"/>
        </w:rPr>
      </w:pPr>
      <w:r>
        <w:rPr>
          <w:rFonts w:hint="eastAsia" w:ascii="微软雅黑" w:hAnsi="微软雅黑" w:eastAsia="微软雅黑" w:cs="微软雅黑"/>
          <w:b/>
          <w:i w:val="0"/>
          <w:caps w:val="0"/>
          <w:color w:val="3E3E3E"/>
          <w:spacing w:val="0"/>
          <w:sz w:val="32"/>
          <w:szCs w:val="32"/>
          <w:bdr w:val="none" w:color="auto" w:sz="0" w:space="0"/>
        </w:rPr>
        <w:t>河南省农业机械技术中心 关于对襄阳祥盛农业机械有限公司、常州森犇农业机械有限公司农机购置补贴机具投档违规行为处理情况的通报</w:t>
      </w:r>
    </w:p>
    <w:p>
      <w:pPr>
        <w:jc w:val="center"/>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t>豫农机文〔2021〕50号</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0"/>
        <w:textAlignment w:val="auto"/>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各有关农机生产企业，各有关单位：</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经查，在河南省2021年农机购置补贴机具投档过程中，襄阳祥盛农业机械有限公司、常州森犇农业机械有限公司2个企业的2个产品存在产品参数不满足投档要求的投档违规行为：</w:t>
      </w:r>
    </w:p>
    <w:tbl>
      <w:tblPr>
        <w:tblW w:w="87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22"/>
        <w:gridCol w:w="1368"/>
        <w:gridCol w:w="1568"/>
        <w:gridCol w:w="45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77" w:hRule="atLeast"/>
          <w:jc w:val="center"/>
        </w:trPr>
        <w:tc>
          <w:tcPr>
            <w:tcW w:w="1322"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ascii="微软雅黑" w:hAnsi="微软雅黑" w:eastAsia="微软雅黑" w:cs="微软雅黑"/>
              </w:rPr>
            </w:pPr>
            <w:r>
              <w:rPr>
                <w:rFonts w:hint="eastAsia" w:ascii="微软雅黑" w:hAnsi="微软雅黑" w:eastAsia="微软雅黑" w:cs="微软雅黑"/>
                <w:b/>
                <w:i w:val="0"/>
                <w:caps w:val="0"/>
                <w:color w:val="000000"/>
                <w:spacing w:val="0"/>
                <w:sz w:val="20"/>
                <w:szCs w:val="20"/>
              </w:rPr>
              <w:t>企业名称</w:t>
            </w:r>
          </w:p>
        </w:tc>
        <w:tc>
          <w:tcPr>
            <w:tcW w:w="1368"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0"/>
                <w:szCs w:val="20"/>
              </w:rPr>
              <w:t>产品型号</w:t>
            </w:r>
          </w:p>
        </w:tc>
        <w:tc>
          <w:tcPr>
            <w:tcW w:w="1568"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0"/>
                <w:szCs w:val="20"/>
              </w:rPr>
              <w:t>档次名称</w:t>
            </w:r>
          </w:p>
        </w:tc>
        <w:tc>
          <w:tcPr>
            <w:tcW w:w="4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1" w:after="0" w:afterAutospacing="1"/>
              <w:ind w:left="0" w:right="0" w:firstLine="420"/>
              <w:jc w:val="center"/>
              <w:textAlignment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20"/>
                <w:szCs w:val="20"/>
                <w:lang w:val="en-US" w:eastAsia="zh-CN" w:bidi="ar"/>
              </w:rPr>
              <w:t>投档违规行为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4" w:hRule="atLeast"/>
          <w:jc w:val="center"/>
        </w:trPr>
        <w:tc>
          <w:tcPr>
            <w:tcW w:w="1322"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rPr>
              <w:t>襄阳祥盛农业机械有限公司</w:t>
            </w:r>
          </w:p>
        </w:tc>
        <w:tc>
          <w:tcPr>
            <w:tcW w:w="1368"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rPr>
              <w:t>9YFQ-2.2型方草捆打捆机</w:t>
            </w:r>
          </w:p>
        </w:tc>
        <w:tc>
          <w:tcPr>
            <w:tcW w:w="15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1" w:after="0" w:afterAutospacing="1"/>
              <w:ind w:left="0" w:right="0" w:firstLine="420"/>
              <w:jc w:val="center"/>
              <w:textAlignment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18"/>
                <w:szCs w:val="18"/>
                <w:lang w:val="en-US" w:eastAsia="zh-CN" w:bidi="ar"/>
              </w:rPr>
              <w:t>压缩室截面积（宽</w:t>
            </w:r>
            <w:r>
              <w:rPr>
                <w:rFonts w:hint="eastAsia" w:ascii="宋体" w:hAnsi="宋体" w:eastAsia="宋体" w:cs="宋体"/>
                <w:i w:val="0"/>
                <w:caps w:val="0"/>
                <w:color w:val="000000"/>
                <w:spacing w:val="0"/>
                <w:kern w:val="0"/>
                <w:sz w:val="18"/>
                <w:szCs w:val="18"/>
                <w:lang w:val="en-US" w:eastAsia="zh-CN" w:bidi="ar"/>
              </w:rPr>
              <w:t>×高）0.162㎡及以上方捆捡拾压捆机</w:t>
            </w:r>
          </w:p>
        </w:tc>
        <w:tc>
          <w:tcPr>
            <w:tcW w:w="4521"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rPr>
              <w:t>该产品压缩室截面积（宽</w:t>
            </w:r>
            <w:r>
              <w:rPr>
                <w:rFonts w:hint="eastAsia" w:ascii="宋体" w:hAnsi="宋体" w:eastAsia="宋体" w:cs="宋体"/>
                <w:i w:val="0"/>
                <w:caps w:val="0"/>
                <w:color w:val="000000"/>
                <w:spacing w:val="0"/>
                <w:sz w:val="18"/>
                <w:szCs w:val="18"/>
              </w:rPr>
              <w:t>×高）为0.1606㎡，不符合我省档次参数“压缩室截面积（宽×高）≥0.162㎡”的要求。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1" w:hRule="atLeast"/>
          <w:jc w:val="center"/>
        </w:trPr>
        <w:tc>
          <w:tcPr>
            <w:tcW w:w="1322"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rPr>
              <w:t>常州森犇农业机械有限公司</w:t>
            </w:r>
          </w:p>
        </w:tc>
        <w:tc>
          <w:tcPr>
            <w:tcW w:w="1368"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rPr>
              <w:t>SK1304型轮式拖拉机</w:t>
            </w:r>
          </w:p>
        </w:tc>
        <w:tc>
          <w:tcPr>
            <w:tcW w:w="15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1" w:after="0" w:afterAutospacing="1"/>
              <w:ind w:left="0" w:right="0" w:firstLine="420"/>
              <w:jc w:val="center"/>
              <w:textAlignment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18"/>
                <w:szCs w:val="18"/>
                <w:lang w:val="en-US" w:eastAsia="zh-CN" w:bidi="ar"/>
              </w:rPr>
              <w:t>120-140马力四轮驱动拖拉机</w:t>
            </w:r>
          </w:p>
        </w:tc>
        <w:tc>
          <w:tcPr>
            <w:tcW w:w="4521" w:type="dxa"/>
            <w:tcBorders>
              <w:top w:val="single" w:color="auto" w:sz="8" w:space="0"/>
              <w:left w:val="single" w:color="auto" w:sz="8" w:space="0"/>
              <w:bottom w:val="single" w:color="auto" w:sz="8" w:space="0"/>
              <w:right w:val="single" w:color="auto" w:sz="8" w:space="0"/>
            </w:tcBorders>
            <w:shd w:val="clear"/>
            <w:vAlign w:val="top"/>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rPr>
              <w:t>该产品最小使用比质量为</w:t>
            </w:r>
            <w:r>
              <w:rPr>
                <w:rFonts w:hint="eastAsia" w:ascii="宋体" w:hAnsi="宋体" w:eastAsia="宋体" w:cs="宋体"/>
                <w:i w:val="0"/>
                <w:caps w:val="0"/>
                <w:color w:val="000000"/>
                <w:spacing w:val="0"/>
                <w:sz w:val="18"/>
                <w:szCs w:val="18"/>
              </w:rPr>
              <w:t>41.3kg/kW，不符合我省档次参数“最小使用比质量≥43kg/kW”的要求。</w:t>
            </w:r>
          </w:p>
        </w:tc>
      </w:tr>
    </w:tbl>
    <w:p>
      <w:pPr>
        <w:keepNext w:val="0"/>
        <w:keepLines w:val="0"/>
        <w:widowControl/>
        <w:suppressLineNumbers w:val="0"/>
        <w:jc w:val="left"/>
      </w:pP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textAlignment w:val="auto"/>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根据《农业农村部办公厅关于进一步做好农机购置补贴机具投档与核验等工作的通知》（农办机〔2019〕7号）《农业农村部办公厅 财政部办公厅农业机械购置补贴产品违规经营行为处理办法（试行）》（农办财〔2017〕26号）《农业农村部办公厅 财政部办公厅关于进一步加强农机购置补贴政策监管强化纪律约束的通知》（农办机〔2019〕6号）及相关规定，我单位对襄阳祥盛农业机械有限公司、常州森犇农业机械有限公司进行了约谈，决定取消襄阳祥盛农业机械有限公司的9YFQ-2.2型方草捆打捆机、常州森犇农业机械有限公司的的SK1304型轮式拖拉机的补贴资格。</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各农机生产企业要引以为戒，严格执行机具投档的有关规定，坚决杜绝投档违规行为的再次发生。因农机购置补贴资格被取消所引起的纠纷和经济损失由违规企业自行承担。</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textAlignment w:val="auto"/>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textAlignment w:val="auto"/>
      </w:pPr>
      <w:bookmarkStart w:id="0" w:name="_GoBack"/>
      <w:bookmarkEnd w:id="0"/>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河南省农业机械技术中心</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2021年12月31日</w:t>
      </w:r>
    </w:p>
    <w:p>
      <w:pPr>
        <w:jc w:val="both"/>
        <w:rPr>
          <w:rFonts w:ascii="微软雅黑" w:hAnsi="微软雅黑" w:eastAsia="微软雅黑" w:cs="微软雅黑"/>
          <w:i w:val="0"/>
          <w:caps w:val="0"/>
          <w:color w:val="333333"/>
          <w:spacing w:val="0"/>
          <w:sz w:val="24"/>
          <w:szCs w:val="24"/>
        </w:rPr>
      </w:pPr>
    </w:p>
    <w:sectPr>
      <w:pgSz w:w="11906" w:h="16838"/>
      <w:pgMar w:top="1553" w:right="123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1775F"/>
    <w:rsid w:val="21E1775F"/>
    <w:rsid w:val="42005F2B"/>
    <w:rsid w:val="651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2022-01-04T02:29:00Z</dcterms:created>
  <dc:creator>Administrator</dc:creator>
  <cp:lastModifiedBy>Administrator</cp:lastModifiedBy>
  <dcterms:modified xsi:type="dcterms:W3CDTF">2022-01-04T02:38:58Z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