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4D" w:rsidRDefault="00AF3AE2" w:rsidP="00DD294D">
      <w:pPr>
        <w:widowControl/>
        <w:jc w:val="center"/>
        <w:rPr>
          <w:rFonts w:ascii="宋体" w:eastAsia="宋体" w:hAnsi="宋体" w:cs="宋体"/>
          <w:b/>
          <w:bCs/>
          <w:color w:val="333333"/>
          <w:kern w:val="0"/>
          <w:sz w:val="36"/>
          <w:szCs w:val="36"/>
        </w:rPr>
      </w:pPr>
      <w:r w:rsidRPr="00AF3AE2">
        <w:rPr>
          <w:rFonts w:ascii="宋体" w:eastAsia="宋体" w:hAnsi="宋体" w:cs="宋体" w:hint="eastAsia"/>
          <w:b/>
          <w:bCs/>
          <w:color w:val="333333"/>
          <w:kern w:val="0"/>
          <w:sz w:val="36"/>
          <w:szCs w:val="36"/>
        </w:rPr>
        <w:t>南乐县</w:t>
      </w:r>
      <w:r w:rsidR="00A448AA" w:rsidRPr="00AF3AE2">
        <w:rPr>
          <w:rFonts w:ascii="宋体" w:eastAsia="宋体" w:hAnsi="宋体" w:cs="宋体" w:hint="eastAsia"/>
          <w:b/>
          <w:bCs/>
          <w:color w:val="333333"/>
          <w:kern w:val="0"/>
          <w:sz w:val="36"/>
          <w:szCs w:val="36"/>
        </w:rPr>
        <w:t>农机购置补贴内部控制管理制度（试行）</w:t>
      </w:r>
    </w:p>
    <w:p w:rsidR="00DD294D" w:rsidRPr="002A634F" w:rsidRDefault="00DD294D" w:rsidP="00DD294D">
      <w:pPr>
        <w:widowControl/>
        <w:ind w:firstLineChars="200" w:firstLine="640"/>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为进一步规范农机购置补贴工作，强化内部权力运行制约，加强廉政风险防控，落实好农机购置补贴政策，结合我</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县实际，制定本制度。</w:t>
      </w:r>
    </w:p>
    <w:p w:rsidR="00DD294D" w:rsidRPr="002A634F" w:rsidRDefault="00DD294D" w:rsidP="00DD294D">
      <w:pPr>
        <w:widowControl/>
        <w:ind w:firstLineChars="200" w:firstLine="640"/>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本制度覆盖补贴实施工作的全范围、全岗位、全人员、全过程、全环节，主要包括：补贴工作方案制定、补贴申请受理审核与结算、补贴监管与违规投诉处理、政策宣传与信息公开、绩效管理等 5 项工作。</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一、 农机购置补贴工作方案制定</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（一） 工作流程</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1、编制年度工作方案。县农机中心根据已公布的上级农机购置补贴实施办法，结合本年度实际农机需求，拟定本地实施方案。</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2、组织工作方案论证。县农机中心领导班子对实施方案进行可行性论证，形成实施方案（草案）。</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3、报送领导机构审核。县农机中心向县农机购置补贴领导小组提交实施方案（草案）进行审核，并经集体研究后形成终稿。</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4、印发工作方案文件。县农机中心将集体研究形成的实施方案终稿行文下发。</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t>5、按照职责开展工作。县农机中心按年度实施方案完成具体工作任务，定期形成规范信息进行主动公开，</w:t>
      </w:r>
    </w:p>
    <w:p w:rsidR="00DD294D" w:rsidRPr="002A634F" w:rsidRDefault="00DD294D" w:rsidP="00DD294D">
      <w:pPr>
        <w:widowControl/>
        <w:rPr>
          <w:rFonts w:asciiTheme="minorEastAsia" w:hAnsiTheme="minorEastAsia" w:cs="宋体"/>
          <w:color w:val="333333"/>
          <w:kern w:val="0"/>
          <w:sz w:val="32"/>
          <w:szCs w:val="32"/>
        </w:rPr>
      </w:pPr>
      <w:r w:rsidRPr="002A634F">
        <w:rPr>
          <w:rFonts w:asciiTheme="minorEastAsia" w:hAnsiTheme="minorEastAsia" w:cs="宋体" w:hint="eastAsia"/>
          <w:color w:val="333333"/>
          <w:kern w:val="0"/>
          <w:sz w:val="32"/>
          <w:szCs w:val="32"/>
        </w:rPr>
        <w:lastRenderedPageBreak/>
        <w:t xml:space="preserve"> </w:t>
      </w:r>
    </w:p>
    <w:p w:rsidR="00A448AA" w:rsidRPr="002A634F" w:rsidRDefault="00DD294D" w:rsidP="00DD294D">
      <w:pPr>
        <w:widowControl/>
        <w:rPr>
          <w:rFonts w:asciiTheme="minorEastAsia" w:hAnsiTheme="minorEastAsia" w:cs="宋体"/>
          <w:color w:val="333333"/>
          <w:kern w:val="0"/>
          <w:sz w:val="18"/>
          <w:szCs w:val="18"/>
        </w:rPr>
      </w:pPr>
      <w:r w:rsidRPr="002A634F">
        <w:rPr>
          <w:rFonts w:asciiTheme="minorEastAsia" w:hAnsiTheme="minorEastAsia" w:cs="宋体" w:hint="eastAsia"/>
          <w:color w:val="333333"/>
          <w:kern w:val="0"/>
          <w:sz w:val="32"/>
          <w:szCs w:val="32"/>
        </w:rPr>
        <w:t>并按要求向上级部门报送实施方案、信息和总结等材料。</w:t>
      </w:r>
      <w:r w:rsidR="00A448AA" w:rsidRPr="002A634F">
        <w:rPr>
          <w:rFonts w:asciiTheme="minorEastAsia" w:hAnsiTheme="minorEastAsia" w:cs="宋体" w:hint="eastAsia"/>
          <w:color w:val="333333"/>
          <w:kern w:val="0"/>
          <w:sz w:val="32"/>
          <w:szCs w:val="32"/>
        </w:rPr>
        <w:br/>
      </w:r>
      <w:r w:rsidR="00A448AA" w:rsidRPr="002A634F">
        <w:rPr>
          <w:rFonts w:asciiTheme="minorEastAsia" w:hAnsiTheme="minorEastAsia" w:cs="宋体"/>
          <w:color w:val="333333"/>
          <w:kern w:val="0"/>
          <w:sz w:val="18"/>
          <w:szCs w:val="18"/>
        </w:rPr>
        <w:br/>
      </w:r>
      <w:r w:rsidRPr="002A634F">
        <w:rPr>
          <w:rFonts w:asciiTheme="minorEastAsia" w:hAnsiTheme="minorEastAsia" w:cs="宋体" w:hint="eastAsia"/>
          <w:color w:val="333333"/>
          <w:kern w:val="0"/>
          <w:sz w:val="32"/>
          <w:szCs w:val="32"/>
        </w:rPr>
        <w:t xml:space="preserve">    </w:t>
      </w:r>
    </w:p>
    <w:p w:rsidR="00A448AA" w:rsidRPr="00A448AA" w:rsidRDefault="00A448AA" w:rsidP="00A448AA">
      <w:pPr>
        <w:widowControl/>
        <w:wordWrap w:val="0"/>
        <w:ind w:left="973"/>
        <w:jc w:val="left"/>
        <w:outlineLvl w:val="0"/>
        <w:rPr>
          <w:rFonts w:ascii="Verdana" w:eastAsia="宋体" w:hAnsi="Verdana" w:cs="宋体"/>
          <w:b/>
          <w:bCs/>
          <w:color w:val="333333"/>
          <w:kern w:val="36"/>
          <w:sz w:val="48"/>
          <w:szCs w:val="48"/>
        </w:rPr>
      </w:pPr>
      <w:r w:rsidRPr="00A448AA">
        <w:rPr>
          <w:rFonts w:ascii="宋体" w:eastAsia="宋体" w:hAnsi="宋体" w:cs="宋体" w:hint="eastAsia"/>
          <w:b/>
          <w:bCs/>
          <w:color w:val="333333"/>
          <w:kern w:val="36"/>
          <w:sz w:val="32"/>
        </w:rPr>
        <w:t>（二）主要风险及防控措施</w:t>
      </w:r>
    </w:p>
    <w:tbl>
      <w:tblPr>
        <w:tblW w:w="0" w:type="auto"/>
        <w:tblInd w:w="23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3614"/>
        <w:gridCol w:w="4489"/>
      </w:tblGrid>
      <w:tr w:rsidR="00A448AA" w:rsidRPr="00A448AA" w:rsidTr="00A448AA">
        <w:trPr>
          <w:trHeight w:val="56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b/>
                <w:bCs/>
                <w:kern w:val="0"/>
                <w:sz w:val="32"/>
              </w:rPr>
              <w:t>风险点</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b/>
                <w:bCs/>
                <w:kern w:val="0"/>
                <w:sz w:val="32"/>
              </w:rPr>
              <w:t>防控应对</w:t>
            </w:r>
          </w:p>
        </w:tc>
      </w:tr>
      <w:tr w:rsidR="00A448AA" w:rsidRPr="00A448AA" w:rsidTr="00A448AA">
        <w:trPr>
          <w:trHeight w:val="56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实施方案制订是否科学</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内部、部门之间征求意见</w:t>
            </w:r>
          </w:p>
        </w:tc>
      </w:tr>
      <w:tr w:rsidR="00A448AA" w:rsidRPr="00A448AA" w:rsidTr="00A448AA">
        <w:trPr>
          <w:trHeight w:val="80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实施方案制订是否合理</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建立领导班子内审、领导小组终审的二级审核制度</w:t>
            </w:r>
          </w:p>
        </w:tc>
      </w:tr>
      <w:tr w:rsidR="00A448AA" w:rsidRPr="00A448AA" w:rsidTr="00A448AA">
        <w:trPr>
          <w:trHeight w:val="56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实施方案实施是否有效</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定期形成规范信息进行主动公开</w:t>
            </w:r>
          </w:p>
        </w:tc>
      </w:tr>
      <w:tr w:rsidR="00A448AA" w:rsidRPr="00A448AA" w:rsidTr="00A448AA">
        <w:trPr>
          <w:trHeight w:val="56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部门职责是否明确到位</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建立部门职责内部审查制度</w:t>
            </w:r>
          </w:p>
        </w:tc>
      </w:tr>
      <w:tr w:rsidR="00A448AA" w:rsidRPr="00A448AA" w:rsidTr="00A448AA">
        <w:trPr>
          <w:trHeight w:val="56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关键岗位职责是否到位</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建立业务岗位责任制度</w:t>
            </w:r>
          </w:p>
        </w:tc>
      </w:tr>
      <w:tr w:rsidR="00A448AA" w:rsidRPr="00A448AA" w:rsidTr="00A448AA">
        <w:trPr>
          <w:trHeight w:val="80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领导机构是否发挥作用</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领导小组办公室审核工作方案，对</w:t>
            </w:r>
            <w:r w:rsidRPr="00A448AA">
              <w:rPr>
                <w:rFonts w:ascii="Verdana" w:eastAsia="宋体" w:hAnsi="Verdana" w:cs="Times New Roman"/>
                <w:kern w:val="0"/>
                <w:sz w:val="15"/>
                <w:szCs w:val="15"/>
              </w:rPr>
              <w:br/>
            </w:r>
            <w:r w:rsidRPr="00A448AA">
              <w:rPr>
                <w:rFonts w:ascii="宋体" w:eastAsia="宋体" w:hAnsi="宋体" w:cs="Times New Roman" w:hint="eastAsia"/>
                <w:kern w:val="0"/>
                <w:sz w:val="32"/>
                <w:szCs w:val="32"/>
              </w:rPr>
              <w:t>重点事项集体决策</w:t>
            </w:r>
          </w:p>
        </w:tc>
      </w:tr>
      <w:tr w:rsidR="00A448AA" w:rsidRPr="00A448AA" w:rsidTr="00A448AA">
        <w:trPr>
          <w:trHeight w:val="800"/>
        </w:trPr>
        <w:tc>
          <w:tcPr>
            <w:tcW w:w="411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领导机构是否运行正常</w:t>
            </w:r>
          </w:p>
        </w:tc>
        <w:tc>
          <w:tcPr>
            <w:tcW w:w="507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kern w:val="0"/>
                <w:sz w:val="15"/>
                <w:szCs w:val="15"/>
              </w:rPr>
            </w:pPr>
            <w:r w:rsidRPr="00A448AA">
              <w:rPr>
                <w:rFonts w:ascii="宋体" w:eastAsia="宋体" w:hAnsi="宋体" w:cs="Times New Roman" w:hint="eastAsia"/>
                <w:kern w:val="0"/>
                <w:sz w:val="32"/>
                <w:szCs w:val="32"/>
              </w:rPr>
              <w:t>领导小组办公室负责部门协同配</w:t>
            </w:r>
            <w:r w:rsidRPr="00A448AA">
              <w:rPr>
                <w:rFonts w:ascii="Verdana" w:eastAsia="宋体" w:hAnsi="Verdana" w:cs="Times New Roman"/>
                <w:kern w:val="0"/>
                <w:sz w:val="15"/>
                <w:szCs w:val="15"/>
              </w:rPr>
              <w:br/>
            </w:r>
            <w:r w:rsidRPr="00A448AA">
              <w:rPr>
                <w:rFonts w:ascii="宋体" w:eastAsia="宋体" w:hAnsi="宋体" w:cs="Times New Roman" w:hint="eastAsia"/>
                <w:kern w:val="0"/>
                <w:sz w:val="32"/>
                <w:szCs w:val="32"/>
              </w:rPr>
              <w:t>合，信息传递</w:t>
            </w:r>
          </w:p>
        </w:tc>
      </w:tr>
    </w:tbl>
    <w:p w:rsidR="00A448AA" w:rsidRDefault="00A448AA" w:rsidP="00A448AA">
      <w:pPr>
        <w:widowControl/>
        <w:wordWrap w:val="0"/>
        <w:jc w:val="left"/>
        <w:rPr>
          <w:rFonts w:ascii="宋体" w:eastAsia="宋体" w:hAnsi="宋体" w:cs="宋体"/>
          <w:color w:val="333333"/>
          <w:kern w:val="0"/>
          <w:sz w:val="32"/>
          <w:szCs w:val="32"/>
        </w:rPr>
      </w:pPr>
      <w:r w:rsidRPr="00A448AA">
        <w:rPr>
          <w:rFonts w:ascii="宋体" w:eastAsia="宋体" w:hAnsi="宋体" w:cs="宋体" w:hint="eastAsia"/>
          <w:color w:val="333333"/>
          <w:kern w:val="0"/>
          <w:sz w:val="32"/>
          <w:szCs w:val="32"/>
        </w:rPr>
        <w:t>二、农机购置补贴申请的受理、审核与结算兑付</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农机购置补贴政策实施工作按以下流程操作。</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lastRenderedPageBreak/>
        <w:t>（一）、申请受理。对购机者自主提出的补贴申请，农机部门应于2个工作日内做出是否受理的决定，对因资料不齐全等原因无法受理的，应注明原因，并按原渠道退回申请。      县农机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（二）、资格审核</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（1）直接从事农业生产的个人需提供身份证原件及复印件、惠民惠农财政补贴资金一卡通原件及复印件。</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（2）农业生产经营组织需提供工商营业执照、对公账号原件及复印件。</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（3）公职人员购买农机具不能享受补贴，基层办理农机购置补贴工作人员没有身份审核权限，不负身份审核责任，公职人员购买农机具隐瞒身份申请补贴的，一切责任自负。</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（4）购机者需要提供购买补贴机具税控发票、机具合格证原件及复印件，所购机具为拖拉机、谷物收割机等实行牌证管理的，还需提供行驶证原件及复印件。以及政策实施要求提供的其他必要信息。</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lastRenderedPageBreak/>
        <w:t>上述信息的真实性、完整性和有效性由购机者、产销企业和农机监理机构分别负责，并承担相应的法律责任。</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三）、机具核验。县农机部门按照《河南省农机购置补贴机具核验工作要点（试行）》等要求，对补贴相关申请资料进行形式审核，对补贴机具进行核验，其中牌证管理机具凭牌证免于现场实物核验。对资料核验、机具核验的程序、方式和签章的规范性进行集体复核，可与集体会商同步进行。于13个工作日内（不含公示时间）完成相关核验工作。</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（四）公示报送。对通过复核的补贴申请信息在农机购置补贴信息公开专栏进行公示，同时在补贴申请点公示栏公开公示信息，公示时间为5个工作日，公示无异议后报送财政部门。</w:t>
      </w:r>
    </w:p>
    <w:p w:rsidR="001E6A5F" w:rsidRPr="005F3AF5" w:rsidRDefault="001E6A5F" w:rsidP="001E6A5F">
      <w:pPr>
        <w:widowControl/>
        <w:wordWrap w:val="0"/>
        <w:jc w:val="left"/>
        <w:rPr>
          <w:rFonts w:asciiTheme="minorEastAsia" w:hAnsiTheme="minorEastAsia" w:cs="宋体"/>
          <w:color w:val="333333"/>
          <w:kern w:val="0"/>
          <w:sz w:val="32"/>
          <w:szCs w:val="32"/>
        </w:rPr>
      </w:pPr>
      <w:r w:rsidRPr="005F3AF5">
        <w:rPr>
          <w:rFonts w:asciiTheme="minorEastAsia" w:hAnsiTheme="minorEastAsia" w:cs="宋体" w:hint="eastAsia"/>
          <w:color w:val="333333"/>
          <w:kern w:val="0"/>
          <w:sz w:val="32"/>
          <w:szCs w:val="32"/>
        </w:rPr>
        <w:t>（五）资金兑付。财政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农机部门联合向上报告资金供需情况。补贴申领原则上当年有效，因当年财政补贴资金规模不够、办理手续时间紧张等无法享受补贴的，可在下一个年度优先兑付。</w:t>
      </w:r>
    </w:p>
    <w:p w:rsidR="005F3AF5" w:rsidRDefault="005F3AF5" w:rsidP="005F3AF5">
      <w:pPr>
        <w:widowControl/>
        <w:wordWrap w:val="0"/>
        <w:jc w:val="left"/>
        <w:outlineLvl w:val="0"/>
        <w:rPr>
          <w:rFonts w:ascii="宋体" w:eastAsia="宋体" w:hAnsi="宋体" w:cs="宋体" w:hint="eastAsia"/>
          <w:b/>
          <w:bCs/>
          <w:color w:val="333333"/>
          <w:kern w:val="36"/>
          <w:sz w:val="32"/>
        </w:rPr>
      </w:pPr>
    </w:p>
    <w:p w:rsidR="00A448AA" w:rsidRPr="00A448AA" w:rsidRDefault="00A448AA" w:rsidP="005F3AF5">
      <w:pPr>
        <w:widowControl/>
        <w:wordWrap w:val="0"/>
        <w:jc w:val="left"/>
        <w:outlineLvl w:val="0"/>
        <w:rPr>
          <w:rFonts w:ascii="Verdana" w:eastAsia="宋体" w:hAnsi="Verdana" w:cs="宋体"/>
          <w:b/>
          <w:bCs/>
          <w:color w:val="333333"/>
          <w:kern w:val="36"/>
          <w:sz w:val="48"/>
          <w:szCs w:val="48"/>
        </w:rPr>
      </w:pPr>
      <w:r w:rsidRPr="00A448AA">
        <w:rPr>
          <w:rFonts w:ascii="宋体" w:eastAsia="宋体" w:hAnsi="宋体" w:cs="宋体" w:hint="eastAsia"/>
          <w:b/>
          <w:bCs/>
          <w:color w:val="333333"/>
          <w:kern w:val="36"/>
          <w:sz w:val="32"/>
        </w:rPr>
        <w:t>（二）</w:t>
      </w:r>
      <w:r w:rsidRPr="00A448AA">
        <w:rPr>
          <w:rFonts w:ascii="Verdana" w:eastAsia="宋体" w:hAnsi="Verdana" w:cs="宋体"/>
          <w:b/>
          <w:bCs/>
          <w:color w:val="333333"/>
          <w:kern w:val="36"/>
          <w:sz w:val="32"/>
        </w:rPr>
        <w:t> </w:t>
      </w:r>
      <w:r w:rsidRPr="00A448AA">
        <w:rPr>
          <w:rFonts w:ascii="Verdana" w:eastAsia="宋体" w:hAnsi="Verdana" w:cs="宋体"/>
          <w:b/>
          <w:bCs/>
          <w:color w:val="333333"/>
          <w:kern w:val="36"/>
          <w:sz w:val="32"/>
        </w:rPr>
        <w:t>主要风险及防控措施</w:t>
      </w:r>
    </w:p>
    <w:tbl>
      <w:tblPr>
        <w:tblW w:w="0" w:type="auto"/>
        <w:tblInd w:w="23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032"/>
        <w:gridCol w:w="4071"/>
      </w:tblGrid>
      <w:tr w:rsidR="00A448AA" w:rsidRPr="00A448AA" w:rsidTr="00A448AA">
        <w:trPr>
          <w:trHeight w:val="560"/>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b/>
                <w:bCs/>
                <w:color w:val="333333"/>
                <w:kern w:val="0"/>
                <w:sz w:val="32"/>
              </w:rPr>
              <w:lastRenderedPageBreak/>
              <w:t>风险点</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b/>
                <w:bCs/>
                <w:color w:val="333333"/>
                <w:kern w:val="0"/>
                <w:sz w:val="32"/>
              </w:rPr>
              <w:t>防控应对</w:t>
            </w:r>
          </w:p>
        </w:tc>
      </w:tr>
      <w:tr w:rsidR="00A448AA" w:rsidRPr="00A448AA" w:rsidTr="00A448AA">
        <w:trPr>
          <w:trHeight w:val="1199"/>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Verdana" w:eastAsia="宋体" w:hAnsi="Verdana" w:cs="Times New Roman"/>
                <w:color w:val="333333"/>
                <w:kern w:val="0"/>
                <w:sz w:val="15"/>
                <w:szCs w:val="15"/>
              </w:rPr>
              <w:br/>
            </w:r>
            <w:r w:rsidRPr="00A448AA">
              <w:rPr>
                <w:rFonts w:ascii="宋体" w:eastAsia="宋体" w:hAnsi="宋体" w:cs="Times New Roman" w:hint="eastAsia"/>
                <w:color w:val="333333"/>
                <w:kern w:val="0"/>
                <w:sz w:val="30"/>
                <w:szCs w:val="30"/>
              </w:rPr>
              <w:t>补贴对象是否符合资格条件</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2F4D28">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个人提供</w:t>
            </w:r>
            <w:r w:rsidR="002F4D28">
              <w:rPr>
                <w:rFonts w:ascii="宋体" w:eastAsia="宋体" w:hAnsi="宋体" w:cs="Times New Roman" w:hint="eastAsia"/>
                <w:color w:val="333333"/>
                <w:kern w:val="0"/>
                <w:sz w:val="30"/>
                <w:szCs w:val="30"/>
              </w:rPr>
              <w:t>社保卡</w:t>
            </w:r>
            <w:r w:rsidRPr="00A448AA">
              <w:rPr>
                <w:rFonts w:ascii="宋体" w:eastAsia="宋体" w:hAnsi="宋体" w:cs="Times New Roman" w:hint="eastAsia"/>
                <w:color w:val="333333"/>
                <w:kern w:val="0"/>
                <w:sz w:val="30"/>
                <w:szCs w:val="30"/>
              </w:rPr>
              <w:t>，农业生产经营组织提供开户许可证和申请补助对象同名的银行账号</w:t>
            </w:r>
          </w:p>
        </w:tc>
      </w:tr>
      <w:tr w:rsidR="00A448AA" w:rsidRPr="00A448AA" w:rsidTr="00A448AA">
        <w:trPr>
          <w:trHeight w:val="796"/>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补贴申请资料是否合规</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纸质资料和录入记录分别审核确认</w:t>
            </w:r>
          </w:p>
        </w:tc>
      </w:tr>
      <w:tr w:rsidR="00A448AA" w:rsidRPr="00A448AA" w:rsidTr="00A448AA">
        <w:trPr>
          <w:trHeight w:val="796"/>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未按要求审核补贴申请资料、录入购机补贴信息</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补贴申请资料确认完整后，才能录入购机信息</w:t>
            </w:r>
          </w:p>
        </w:tc>
      </w:tr>
      <w:tr w:rsidR="00A448AA" w:rsidRPr="00A448AA" w:rsidTr="00A448AA">
        <w:trPr>
          <w:trHeight w:val="1196"/>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补贴机具未现场核实即录入购机信息</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现场核对机具信息无误后才能录入购机信息，做好人机合影等受理工作</w:t>
            </w:r>
          </w:p>
        </w:tc>
      </w:tr>
      <w:tr w:rsidR="00A448AA" w:rsidRPr="00A448AA" w:rsidTr="00A448AA">
        <w:trPr>
          <w:trHeight w:val="800"/>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已录入购机信息不完整</w:t>
            </w:r>
          </w:p>
        </w:tc>
        <w:tc>
          <w:tcPr>
            <w:tcW w:w="463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退回，并告知购机者完善补贴材料</w:t>
            </w:r>
          </w:p>
        </w:tc>
      </w:tr>
      <w:tr w:rsidR="00A448AA" w:rsidRPr="00A448AA" w:rsidTr="00A448AA">
        <w:trPr>
          <w:trHeight w:val="797"/>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牌证管理信息是否合规</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县农机监理所及时提供牌证信息</w:t>
            </w:r>
            <w:r w:rsidRPr="00A448AA">
              <w:rPr>
                <w:rFonts w:ascii="Verdana" w:eastAsia="宋体" w:hAnsi="Verdana" w:cs="Times New Roman"/>
                <w:color w:val="333333"/>
                <w:kern w:val="0"/>
                <w:sz w:val="15"/>
                <w:szCs w:val="15"/>
              </w:rPr>
              <w:br/>
            </w:r>
            <w:r w:rsidRPr="00A448AA">
              <w:rPr>
                <w:rFonts w:ascii="宋体" w:eastAsia="宋体" w:hAnsi="宋体" w:cs="Times New Roman" w:hint="eastAsia"/>
                <w:color w:val="333333"/>
                <w:kern w:val="0"/>
                <w:sz w:val="30"/>
                <w:szCs w:val="30"/>
              </w:rPr>
              <w:t>（含报废更新相关情况）</w:t>
            </w:r>
          </w:p>
        </w:tc>
      </w:tr>
      <w:tr w:rsidR="00A448AA" w:rsidRPr="00A448AA" w:rsidTr="00A448AA">
        <w:trPr>
          <w:trHeight w:val="800"/>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实地安装确认验收手续是否合规</w:t>
            </w:r>
          </w:p>
        </w:tc>
        <w:tc>
          <w:tcPr>
            <w:tcW w:w="463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农机中心负责实地安装的机具验收，并如实填写安装确认表</w:t>
            </w:r>
          </w:p>
        </w:tc>
      </w:tr>
      <w:tr w:rsidR="00A448AA" w:rsidRPr="00A448AA" w:rsidTr="00A448AA">
        <w:trPr>
          <w:trHeight w:val="797"/>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已录入购机信息与申请补贴报账</w:t>
            </w:r>
            <w:r w:rsidRPr="00A448AA">
              <w:rPr>
                <w:rFonts w:ascii="Verdana" w:eastAsia="宋体" w:hAnsi="Verdana" w:cs="Times New Roman"/>
                <w:color w:val="333333"/>
                <w:kern w:val="0"/>
                <w:sz w:val="15"/>
                <w:szCs w:val="15"/>
              </w:rPr>
              <w:br/>
            </w:r>
            <w:r w:rsidRPr="00A448AA">
              <w:rPr>
                <w:rFonts w:ascii="宋体" w:eastAsia="宋体" w:hAnsi="宋体" w:cs="Times New Roman" w:hint="eastAsia"/>
                <w:color w:val="333333"/>
                <w:kern w:val="0"/>
                <w:sz w:val="30"/>
                <w:szCs w:val="30"/>
              </w:rPr>
              <w:t>信息不符</w:t>
            </w:r>
          </w:p>
        </w:tc>
        <w:tc>
          <w:tcPr>
            <w:tcW w:w="463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通知生产企业和经销商做书面说明</w:t>
            </w:r>
          </w:p>
        </w:tc>
      </w:tr>
      <w:tr w:rsidR="00A448AA" w:rsidRPr="00A448AA" w:rsidTr="00A448AA">
        <w:trPr>
          <w:trHeight w:val="1199"/>
        </w:trPr>
        <w:tc>
          <w:tcPr>
            <w:tcW w:w="4584"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lastRenderedPageBreak/>
              <w:t>未收到录入信息中对应经销商报送的补贴机具销售情况</w:t>
            </w:r>
          </w:p>
        </w:tc>
        <w:tc>
          <w:tcPr>
            <w:tcW w:w="463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通知经销商按规定要求报送，必要时进行限期整改</w:t>
            </w:r>
          </w:p>
        </w:tc>
      </w:tr>
    </w:tbl>
    <w:p w:rsidR="00A448AA" w:rsidRPr="002F4D28" w:rsidRDefault="00A448AA" w:rsidP="002F4D28">
      <w:pPr>
        <w:widowControl/>
        <w:jc w:val="left"/>
        <w:rPr>
          <w:rFonts w:ascii="宋体" w:eastAsia="宋体" w:hAnsi="宋体" w:cs="宋体"/>
          <w:kern w:val="0"/>
          <w:sz w:val="24"/>
          <w:szCs w:val="24"/>
        </w:rPr>
      </w:pPr>
      <w:r w:rsidRPr="00A448AA">
        <w:rPr>
          <w:rFonts w:ascii="宋体" w:eastAsia="宋体" w:hAnsi="宋体" w:cs="宋体" w:hint="eastAsia"/>
          <w:color w:val="333333"/>
          <w:kern w:val="0"/>
          <w:sz w:val="32"/>
          <w:szCs w:val="32"/>
        </w:rPr>
        <w:t>三、农机购置补贴监管、违规与投诉调查处理</w:t>
      </w:r>
      <w:r w:rsidRPr="002F4D28">
        <w:rPr>
          <w:rFonts w:ascii="宋体" w:eastAsia="宋体" w:hAnsi="宋体" w:cs="宋体" w:hint="eastAsia"/>
          <w:bCs/>
          <w:color w:val="333333"/>
          <w:kern w:val="36"/>
          <w:sz w:val="32"/>
        </w:rPr>
        <w:t>工作流程</w:t>
      </w:r>
    </w:p>
    <w:p w:rsidR="00A448AA" w:rsidRPr="005D27F8" w:rsidRDefault="00A448AA" w:rsidP="00A448AA">
      <w:pPr>
        <w:widowControl/>
        <w:jc w:val="left"/>
        <w:rPr>
          <w:rFonts w:ascii="宋体" w:eastAsia="宋体" w:hAnsi="宋体" w:cs="宋体"/>
          <w:b/>
          <w:bCs/>
          <w:color w:val="333333"/>
          <w:kern w:val="0"/>
          <w:sz w:val="32"/>
        </w:rPr>
      </w:pPr>
      <w:r w:rsidRPr="00A448AA">
        <w:rPr>
          <w:rFonts w:ascii="宋体" w:eastAsia="宋体" w:hAnsi="宋体" w:cs="宋体" w:hint="eastAsia"/>
          <w:b/>
          <w:bCs/>
          <w:color w:val="333333"/>
          <w:kern w:val="0"/>
          <w:sz w:val="32"/>
        </w:rPr>
        <w:t>1、制定方案。</w:t>
      </w:r>
      <w:r w:rsidRPr="00A448AA">
        <w:rPr>
          <w:rFonts w:ascii="宋体" w:eastAsia="宋体" w:hAnsi="宋体" w:cs="宋体" w:hint="eastAsia"/>
          <w:color w:val="333333"/>
          <w:kern w:val="0"/>
          <w:sz w:val="32"/>
          <w:szCs w:val="32"/>
        </w:rPr>
        <w:t>制订年度监督检查工作方案，成立监督检查组， 邀请财政等部门参加；相关举报投诉等由相关职能科室登记受理。</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2、监督检查。</w:t>
      </w:r>
      <w:r w:rsidRPr="00A448AA">
        <w:rPr>
          <w:rFonts w:ascii="宋体" w:eastAsia="宋体" w:hAnsi="宋体" w:cs="宋体" w:hint="eastAsia"/>
          <w:color w:val="333333"/>
          <w:kern w:val="0"/>
          <w:sz w:val="32"/>
          <w:szCs w:val="32"/>
        </w:rPr>
        <w:t>对照购置补贴实施方案要求，监督检查组对供</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货单位和购机者进行检查。已受理的线索由调查组进行调查核实和</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收集相关佐证材料，并提出处理意见和建议，报送农机中心领导。</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3、问题会商。</w:t>
      </w:r>
      <w:r w:rsidRPr="00A448AA">
        <w:rPr>
          <w:rFonts w:ascii="宋体" w:eastAsia="宋体" w:hAnsi="宋体" w:cs="宋体" w:hint="eastAsia"/>
          <w:color w:val="333333"/>
          <w:kern w:val="0"/>
          <w:sz w:val="32"/>
          <w:szCs w:val="32"/>
        </w:rPr>
        <w:t>县农机中心组织对违规问题进行会商，按照分类处置要求，区分违规性质，确定处理结果。</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4、约谈告知。</w:t>
      </w:r>
      <w:r w:rsidRPr="00A448AA">
        <w:rPr>
          <w:rFonts w:ascii="宋体" w:eastAsia="宋体" w:hAnsi="宋体" w:cs="宋体" w:hint="eastAsia"/>
          <w:color w:val="333333"/>
          <w:kern w:val="0"/>
          <w:sz w:val="32"/>
          <w:szCs w:val="32"/>
        </w:rPr>
        <w:t>在作出正式处理决定前，约谈违规主体，告知违规问题和处理意见。</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5、处理通报。</w:t>
      </w:r>
      <w:r w:rsidRPr="00A448AA">
        <w:rPr>
          <w:rFonts w:ascii="宋体" w:eastAsia="宋体" w:hAnsi="宋体" w:cs="宋体" w:hint="eastAsia"/>
          <w:color w:val="333333"/>
          <w:kern w:val="0"/>
          <w:sz w:val="32"/>
          <w:szCs w:val="32"/>
        </w:rPr>
        <w:t>根据调查结果和约谈情况，对涉事单位和个人下达处理决定。将处理结果进行通报，并上报上级主管部门。</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四、农机购置补贴政策宣传及信息公开</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（一）工作流程</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1、政策宣传。</w:t>
      </w:r>
      <w:r w:rsidRPr="00A448AA">
        <w:rPr>
          <w:rFonts w:ascii="宋体" w:eastAsia="宋体" w:hAnsi="宋体" w:cs="宋体" w:hint="eastAsia"/>
          <w:color w:val="333333"/>
          <w:kern w:val="0"/>
          <w:sz w:val="32"/>
          <w:szCs w:val="32"/>
        </w:rPr>
        <w:t>将年度农机购置补贴政策相关内容进行归集，</w:t>
      </w:r>
      <w:r w:rsidRPr="00A448AA">
        <w:rPr>
          <w:rFonts w:ascii="宋体" w:eastAsia="宋体" w:hAnsi="宋体" w:cs="宋体" w:hint="eastAsia"/>
          <w:color w:val="333333"/>
          <w:kern w:val="0"/>
          <w:sz w:val="32"/>
          <w:szCs w:val="32"/>
        </w:rPr>
        <w:lastRenderedPageBreak/>
        <w:t>针对不同宣传方式形成政策宣传资料。</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2、信息公开。</w:t>
      </w:r>
      <w:r w:rsidRPr="00A448AA">
        <w:rPr>
          <w:rFonts w:ascii="宋体" w:eastAsia="宋体" w:hAnsi="宋体" w:cs="宋体" w:hint="eastAsia"/>
          <w:color w:val="333333"/>
          <w:kern w:val="0"/>
          <w:sz w:val="32"/>
          <w:szCs w:val="32"/>
        </w:rPr>
        <w:t>县农机购置补贴信息公开专栏建设相关规定梳理资料形成规范性信息，在省农机购置补贴信息公开专栏发布。</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（二）风险点与防控应对策略</w:t>
      </w:r>
    </w:p>
    <w:tbl>
      <w:tblPr>
        <w:tblW w:w="9540" w:type="dxa"/>
        <w:tblInd w:w="12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3720"/>
        <w:gridCol w:w="5820"/>
      </w:tblGrid>
      <w:tr w:rsidR="00A448AA" w:rsidRPr="00A448AA" w:rsidTr="00A448AA">
        <w:trPr>
          <w:trHeight w:val="698"/>
        </w:trPr>
        <w:tc>
          <w:tcPr>
            <w:tcW w:w="37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b/>
                <w:bCs/>
                <w:color w:val="333333"/>
                <w:kern w:val="0"/>
                <w:sz w:val="32"/>
              </w:rPr>
              <w:t>风险点</w:t>
            </w:r>
          </w:p>
        </w:tc>
        <w:tc>
          <w:tcPr>
            <w:tcW w:w="58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b/>
                <w:bCs/>
                <w:color w:val="333333"/>
                <w:kern w:val="0"/>
                <w:sz w:val="32"/>
              </w:rPr>
              <w:t>防控应对</w:t>
            </w:r>
          </w:p>
        </w:tc>
      </w:tr>
      <w:tr w:rsidR="00A448AA" w:rsidRPr="00A448AA" w:rsidTr="00A448AA">
        <w:trPr>
          <w:trHeight w:val="877"/>
        </w:trPr>
        <w:tc>
          <w:tcPr>
            <w:tcW w:w="37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政策咨询答复时间是否合规</w:t>
            </w:r>
          </w:p>
        </w:tc>
        <w:tc>
          <w:tcPr>
            <w:tcW w:w="58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能当场答复的当场答复，不能当场答复的在 3 个工作日答复</w:t>
            </w:r>
          </w:p>
        </w:tc>
      </w:tr>
      <w:tr w:rsidR="00A448AA" w:rsidRPr="00A448AA" w:rsidTr="00A448AA">
        <w:trPr>
          <w:trHeight w:val="927"/>
        </w:trPr>
        <w:tc>
          <w:tcPr>
            <w:tcW w:w="37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政策宣传掌握尺度是否合规</w:t>
            </w:r>
          </w:p>
        </w:tc>
        <w:tc>
          <w:tcPr>
            <w:tcW w:w="58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严格执行政策文件中的内容要求，加强学习，不随意变更政策执行标准</w:t>
            </w:r>
          </w:p>
        </w:tc>
      </w:tr>
      <w:tr w:rsidR="00A448AA" w:rsidRPr="00A448AA" w:rsidTr="00A448AA">
        <w:tc>
          <w:tcPr>
            <w:tcW w:w="37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信息发布前是否通过审查</w:t>
            </w:r>
          </w:p>
        </w:tc>
        <w:tc>
          <w:tcPr>
            <w:tcW w:w="58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按规定栏目和内容进行公开，按规定组织公开信息的合规性审查，未审查、审查不通过和涉密、涉及隐私的信息不公开</w:t>
            </w:r>
          </w:p>
        </w:tc>
      </w:tr>
      <w:tr w:rsidR="00A448AA" w:rsidRPr="00A448AA" w:rsidTr="00A448AA">
        <w:trPr>
          <w:trHeight w:val="719"/>
        </w:trPr>
        <w:tc>
          <w:tcPr>
            <w:tcW w:w="37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信息发布、修改和更新</w:t>
            </w:r>
          </w:p>
        </w:tc>
        <w:tc>
          <w:tcPr>
            <w:tcW w:w="58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专人负责，逐级审核，按旬维护，按月更新</w:t>
            </w:r>
          </w:p>
        </w:tc>
      </w:tr>
      <w:tr w:rsidR="00A448AA" w:rsidRPr="00A448AA" w:rsidTr="00A448AA">
        <w:trPr>
          <w:trHeight w:val="1273"/>
        </w:trPr>
        <w:tc>
          <w:tcPr>
            <w:tcW w:w="37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信息公开工作职责是否到位</w:t>
            </w:r>
          </w:p>
        </w:tc>
        <w:tc>
          <w:tcPr>
            <w:tcW w:w="5820" w:type="dxa"/>
            <w:tcBorders>
              <w:top w:val="outset" w:sz="6" w:space="0" w:color="auto"/>
              <w:left w:val="outset" w:sz="6" w:space="0" w:color="auto"/>
              <w:bottom w:val="outset" w:sz="6" w:space="0" w:color="auto"/>
              <w:right w:val="outset" w:sz="6" w:space="0" w:color="auto"/>
            </w:tcBorders>
            <w:vAlign w:val="center"/>
            <w:hideMark/>
          </w:tcPr>
          <w:p w:rsidR="00A448AA" w:rsidRPr="00A448AA" w:rsidRDefault="00A448AA" w:rsidP="00A448AA">
            <w:pPr>
              <w:widowControl/>
              <w:wordWrap w:val="0"/>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对梳理和采集信息建立工作岗位负责制</w:t>
            </w:r>
          </w:p>
        </w:tc>
      </w:tr>
    </w:tbl>
    <w:p w:rsidR="00A448AA" w:rsidRPr="00A448AA" w:rsidRDefault="00A448AA" w:rsidP="00A448AA">
      <w:pPr>
        <w:widowControl/>
        <w:jc w:val="left"/>
        <w:rPr>
          <w:rFonts w:ascii="宋体" w:eastAsia="宋体" w:hAnsi="宋体" w:cs="宋体"/>
          <w:kern w:val="0"/>
          <w:sz w:val="24"/>
          <w:szCs w:val="24"/>
        </w:rPr>
      </w:pPr>
      <w:r w:rsidRPr="00A448AA">
        <w:rPr>
          <w:rFonts w:ascii="宋体" w:eastAsia="宋体" w:hAnsi="宋体" w:cs="宋体" w:hint="eastAsia"/>
          <w:color w:val="333333"/>
          <w:kern w:val="0"/>
          <w:sz w:val="32"/>
          <w:szCs w:val="32"/>
        </w:rPr>
        <w:t>五、农机购置补贴绩效管理</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（一）工作流程</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1、建立健全农机购置补贴制度。</w:t>
      </w:r>
      <w:r w:rsidRPr="00A448AA">
        <w:rPr>
          <w:rFonts w:ascii="宋体" w:eastAsia="宋体" w:hAnsi="宋体" w:cs="宋体" w:hint="eastAsia"/>
          <w:color w:val="333333"/>
          <w:kern w:val="0"/>
          <w:sz w:val="32"/>
          <w:szCs w:val="32"/>
        </w:rPr>
        <w:t>制定完善的农机购置补贴工</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作、资金管理、责任追究、投诉处理、信息公开、绩效管理、</w:t>
      </w:r>
      <w:r w:rsidRPr="00A448AA">
        <w:rPr>
          <w:rFonts w:ascii="宋体" w:eastAsia="宋体" w:hAnsi="宋体" w:cs="宋体" w:hint="eastAsia"/>
          <w:color w:val="333333"/>
          <w:kern w:val="0"/>
          <w:sz w:val="32"/>
          <w:szCs w:val="32"/>
        </w:rPr>
        <w:lastRenderedPageBreak/>
        <w:t>补贴</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系统等方面管理制度。</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2、宏观指导等重点工作开展情况。</w:t>
      </w:r>
      <w:r w:rsidRPr="00A448AA">
        <w:rPr>
          <w:rFonts w:ascii="宋体" w:eastAsia="宋体" w:hAnsi="宋体" w:cs="宋体" w:hint="eastAsia"/>
          <w:color w:val="333333"/>
          <w:kern w:val="0"/>
          <w:sz w:val="32"/>
          <w:szCs w:val="32"/>
        </w:rPr>
        <w:t>政府出台相关文件，成立</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领导机构，建立廉政防控机制，签订工作责任状，落实工作经费，</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制定中长期发展规划，制定农机购置补贴实施方案。</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3、农机购置补贴工作监督检查。</w:t>
      </w:r>
      <w:r w:rsidRPr="00A448AA">
        <w:rPr>
          <w:rFonts w:ascii="宋体" w:eastAsia="宋体" w:hAnsi="宋体" w:cs="宋体" w:hint="eastAsia"/>
          <w:color w:val="333333"/>
          <w:kern w:val="0"/>
          <w:sz w:val="32"/>
          <w:szCs w:val="32"/>
        </w:rPr>
        <w:t>制定检查方案，按要求开展</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核查、定期和不定期检查，对重点机具和重点对象进行重点检查。</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4、资金执行和兑付工作考核。</w:t>
      </w:r>
      <w:r w:rsidRPr="00A448AA">
        <w:rPr>
          <w:rFonts w:ascii="宋体" w:eastAsia="宋体" w:hAnsi="宋体" w:cs="宋体" w:hint="eastAsia"/>
          <w:color w:val="333333"/>
          <w:kern w:val="0"/>
          <w:sz w:val="32"/>
          <w:szCs w:val="32"/>
        </w:rPr>
        <w:t>及时掌握资金使用进度，确保</w:t>
      </w:r>
      <w:r w:rsidRPr="00A448AA">
        <w:rPr>
          <w:rFonts w:ascii="Verdana" w:eastAsia="宋体" w:hAnsi="Verdana" w:cs="宋体"/>
          <w:color w:val="333333"/>
          <w:kern w:val="0"/>
          <w:sz w:val="18"/>
          <w:szCs w:val="18"/>
        </w:rPr>
        <w:br/>
      </w:r>
      <w:r w:rsidRPr="00A448AA">
        <w:rPr>
          <w:rFonts w:ascii="宋体" w:eastAsia="宋体" w:hAnsi="宋体" w:cs="宋体" w:hint="eastAsia"/>
          <w:color w:val="333333"/>
          <w:kern w:val="0"/>
          <w:sz w:val="32"/>
          <w:szCs w:val="32"/>
        </w:rPr>
        <w:t>资金使用的计划性和资金兑付的及时性。</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5、完成绩效目标。</w:t>
      </w:r>
      <w:r w:rsidRPr="00A448AA">
        <w:rPr>
          <w:rFonts w:ascii="宋体" w:eastAsia="宋体" w:hAnsi="宋体" w:cs="宋体" w:hint="eastAsia"/>
          <w:color w:val="333333"/>
          <w:kern w:val="0"/>
          <w:sz w:val="32"/>
          <w:szCs w:val="32"/>
        </w:rPr>
        <w:t>开展绩效管理，通过实施农机购置补贴，促进农机化水平达到预期目标。</w:t>
      </w:r>
      <w:r w:rsidRPr="00A448AA">
        <w:rPr>
          <w:rFonts w:ascii="Verdana" w:eastAsia="宋体" w:hAnsi="Verdana" w:cs="宋体"/>
          <w:color w:val="333333"/>
          <w:kern w:val="0"/>
          <w:sz w:val="18"/>
          <w:szCs w:val="18"/>
        </w:rPr>
        <w:br/>
      </w:r>
      <w:r w:rsidRPr="00A448AA">
        <w:rPr>
          <w:rFonts w:ascii="宋体" w:eastAsia="宋体" w:hAnsi="宋体" w:cs="宋体" w:hint="eastAsia"/>
          <w:b/>
          <w:bCs/>
          <w:color w:val="333333"/>
          <w:kern w:val="0"/>
          <w:sz w:val="32"/>
        </w:rPr>
        <w:t>（二）风险点与防控应对策略</w:t>
      </w:r>
    </w:p>
    <w:tbl>
      <w:tblPr>
        <w:tblW w:w="0" w:type="auto"/>
        <w:tblInd w:w="31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3187"/>
        <w:gridCol w:w="4836"/>
      </w:tblGrid>
      <w:tr w:rsidR="00A448AA" w:rsidRPr="00A448AA" w:rsidTr="00A448AA">
        <w:trPr>
          <w:trHeight w:val="684"/>
        </w:trPr>
        <w:tc>
          <w:tcPr>
            <w:tcW w:w="3639"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b/>
                <w:bCs/>
                <w:color w:val="333333"/>
                <w:kern w:val="0"/>
                <w:sz w:val="32"/>
              </w:rPr>
              <w:t>风险点</w:t>
            </w:r>
          </w:p>
        </w:tc>
        <w:tc>
          <w:tcPr>
            <w:tcW w:w="558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b/>
                <w:bCs/>
                <w:color w:val="333333"/>
                <w:kern w:val="0"/>
                <w:sz w:val="32"/>
              </w:rPr>
              <w:t>防控应对</w:t>
            </w:r>
          </w:p>
        </w:tc>
      </w:tr>
      <w:tr w:rsidR="00A448AA" w:rsidRPr="00A448AA" w:rsidTr="00A448AA">
        <w:trPr>
          <w:trHeight w:val="1414"/>
        </w:trPr>
        <w:tc>
          <w:tcPr>
            <w:tcW w:w="3639"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内部控制与绩效管理相脱节</w:t>
            </w:r>
          </w:p>
        </w:tc>
        <w:tc>
          <w:tcPr>
            <w:tcW w:w="558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把风险防控列入年度绩效管理考核重要内容，贯穿于农机购置补贴政策实施的全过程</w:t>
            </w:r>
          </w:p>
        </w:tc>
      </w:tr>
      <w:tr w:rsidR="00A448AA" w:rsidRPr="00A448AA" w:rsidTr="00A448AA">
        <w:trPr>
          <w:trHeight w:val="973"/>
        </w:trPr>
        <w:tc>
          <w:tcPr>
            <w:tcW w:w="3639"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lastRenderedPageBreak/>
              <w:t>评价方案和指标体系不切合</w:t>
            </w:r>
            <w:r w:rsidRPr="00A448AA">
              <w:rPr>
                <w:rFonts w:ascii="Verdana" w:eastAsia="宋体" w:hAnsi="Verdana" w:cs="Times New Roman"/>
                <w:color w:val="333333"/>
                <w:kern w:val="0"/>
                <w:sz w:val="15"/>
                <w:szCs w:val="15"/>
              </w:rPr>
              <w:br/>
            </w:r>
            <w:r w:rsidRPr="00A448AA">
              <w:rPr>
                <w:rFonts w:ascii="宋体" w:eastAsia="宋体" w:hAnsi="宋体" w:cs="Times New Roman" w:hint="eastAsia"/>
                <w:color w:val="333333"/>
                <w:kern w:val="0"/>
                <w:sz w:val="30"/>
                <w:szCs w:val="30"/>
              </w:rPr>
              <w:t>实际</w:t>
            </w:r>
          </w:p>
        </w:tc>
        <w:tc>
          <w:tcPr>
            <w:tcW w:w="558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公布年度绩效考核方案及评分依据，提高考核的合理性，防止暗箱操作</w:t>
            </w:r>
          </w:p>
        </w:tc>
      </w:tr>
      <w:tr w:rsidR="00A448AA" w:rsidRPr="00A448AA" w:rsidTr="00A448AA">
        <w:trPr>
          <w:trHeight w:val="1414"/>
        </w:trPr>
        <w:tc>
          <w:tcPr>
            <w:tcW w:w="3639"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考核的结果失真、不准确</w:t>
            </w:r>
            <w:r w:rsidRPr="00A448AA">
              <w:rPr>
                <w:rFonts w:ascii="Verdana" w:eastAsia="宋体" w:hAnsi="Verdana" w:cs="Times New Roman"/>
                <w:color w:val="333333"/>
                <w:kern w:val="0"/>
                <w:sz w:val="15"/>
                <w:szCs w:val="15"/>
              </w:rPr>
              <w:br/>
              <w:t> </w:t>
            </w:r>
          </w:p>
        </w:tc>
        <w:tc>
          <w:tcPr>
            <w:tcW w:w="558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层级监管、逐级考核，发挥层级梯次职能作用；可以委托第三方机构进行抽查，体现考核的公平性和独立性</w:t>
            </w:r>
          </w:p>
        </w:tc>
      </w:tr>
      <w:tr w:rsidR="00A448AA" w:rsidRPr="00A448AA" w:rsidTr="00A448AA">
        <w:trPr>
          <w:trHeight w:val="1414"/>
        </w:trPr>
        <w:tc>
          <w:tcPr>
            <w:tcW w:w="3639"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存在弄虚作假行为</w:t>
            </w:r>
            <w:r w:rsidRPr="00A448AA">
              <w:rPr>
                <w:rFonts w:ascii="Verdana" w:eastAsia="宋体" w:hAnsi="Verdana" w:cs="Times New Roman"/>
                <w:color w:val="333333"/>
                <w:kern w:val="0"/>
                <w:sz w:val="15"/>
                <w:szCs w:val="15"/>
              </w:rPr>
              <w:br/>
              <w:t> </w:t>
            </w:r>
          </w:p>
        </w:tc>
        <w:tc>
          <w:tcPr>
            <w:tcW w:w="558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经财政、审计、纪检等部门和司法机关查处，有重大违法违规行为并造成恶劣影响的，实行一票否决</w:t>
            </w:r>
          </w:p>
        </w:tc>
      </w:tr>
      <w:tr w:rsidR="00A448AA" w:rsidRPr="00A448AA" w:rsidTr="00A448AA">
        <w:trPr>
          <w:trHeight w:val="1426"/>
        </w:trPr>
        <w:tc>
          <w:tcPr>
            <w:tcW w:w="3639"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考核结果得不到有效应用</w:t>
            </w:r>
          </w:p>
        </w:tc>
        <w:tc>
          <w:tcPr>
            <w:tcW w:w="5580" w:type="dxa"/>
            <w:tcBorders>
              <w:top w:val="outset" w:sz="6" w:space="0" w:color="auto"/>
              <w:left w:val="outset" w:sz="6" w:space="0" w:color="auto"/>
              <w:bottom w:val="outset" w:sz="6" w:space="0" w:color="auto"/>
              <w:right w:val="outset" w:sz="6" w:space="0" w:color="auto"/>
            </w:tcBorders>
            <w:hideMark/>
          </w:tcPr>
          <w:p w:rsidR="00A448AA" w:rsidRPr="00A448AA" w:rsidRDefault="00A448AA" w:rsidP="00A448AA">
            <w:pPr>
              <w:widowControl/>
              <w:wordWrap w:val="0"/>
              <w:jc w:val="left"/>
              <w:rPr>
                <w:rFonts w:ascii="Verdana" w:eastAsia="宋体" w:hAnsi="Verdana" w:cs="Times New Roman"/>
                <w:color w:val="333333"/>
                <w:kern w:val="0"/>
                <w:sz w:val="15"/>
                <w:szCs w:val="15"/>
              </w:rPr>
            </w:pPr>
            <w:r w:rsidRPr="00A448AA">
              <w:rPr>
                <w:rFonts w:ascii="宋体" w:eastAsia="宋体" w:hAnsi="宋体" w:cs="Times New Roman" w:hint="eastAsia"/>
                <w:color w:val="333333"/>
                <w:kern w:val="0"/>
                <w:sz w:val="30"/>
                <w:szCs w:val="30"/>
              </w:rPr>
              <w:t>通报年度绩效考核结果，把考核情况作为补贴资金和监督经费等分配下达的重要依据</w:t>
            </w:r>
          </w:p>
        </w:tc>
      </w:tr>
    </w:tbl>
    <w:p w:rsidR="00F021C9" w:rsidRDefault="00F021C9">
      <w:pPr>
        <w:rPr>
          <w:rFonts w:hint="eastAsia"/>
        </w:rPr>
      </w:pPr>
    </w:p>
    <w:sectPr w:rsidR="00F021C9" w:rsidSect="00F021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4B" w:rsidRDefault="0045764B" w:rsidP="00DD294D">
      <w:pPr>
        <w:rPr>
          <w:rFonts w:hint="eastAsia"/>
        </w:rPr>
      </w:pPr>
      <w:r>
        <w:separator/>
      </w:r>
    </w:p>
  </w:endnote>
  <w:endnote w:type="continuationSeparator" w:id="0">
    <w:p w:rsidR="0045764B" w:rsidRDefault="0045764B" w:rsidP="00DD294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4B" w:rsidRDefault="0045764B" w:rsidP="00DD294D">
      <w:pPr>
        <w:rPr>
          <w:rFonts w:hint="eastAsia"/>
        </w:rPr>
      </w:pPr>
      <w:r>
        <w:separator/>
      </w:r>
    </w:p>
  </w:footnote>
  <w:footnote w:type="continuationSeparator" w:id="0">
    <w:p w:rsidR="0045764B" w:rsidRDefault="0045764B" w:rsidP="00DD294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8AA"/>
    <w:rsid w:val="001E6A5F"/>
    <w:rsid w:val="002A634F"/>
    <w:rsid w:val="002F4D28"/>
    <w:rsid w:val="0045764B"/>
    <w:rsid w:val="00596CAE"/>
    <w:rsid w:val="005D27F8"/>
    <w:rsid w:val="005F3AF5"/>
    <w:rsid w:val="00A448AA"/>
    <w:rsid w:val="00AF3AE2"/>
    <w:rsid w:val="00C87E52"/>
    <w:rsid w:val="00DD294D"/>
    <w:rsid w:val="00F021C9"/>
    <w:rsid w:val="00F34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C9"/>
    <w:pPr>
      <w:widowControl w:val="0"/>
      <w:jc w:val="both"/>
    </w:pPr>
  </w:style>
  <w:style w:type="paragraph" w:styleId="1">
    <w:name w:val="heading 1"/>
    <w:basedOn w:val="a"/>
    <w:link w:val="1Char"/>
    <w:uiPriority w:val="9"/>
    <w:qFormat/>
    <w:rsid w:val="00A448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48AA"/>
    <w:rPr>
      <w:rFonts w:ascii="宋体" w:eastAsia="宋体" w:hAnsi="宋体" w:cs="宋体"/>
      <w:b/>
      <w:bCs/>
      <w:kern w:val="36"/>
      <w:sz w:val="48"/>
      <w:szCs w:val="48"/>
    </w:rPr>
  </w:style>
  <w:style w:type="character" w:styleId="a3">
    <w:name w:val="Strong"/>
    <w:basedOn w:val="a0"/>
    <w:uiPriority w:val="22"/>
    <w:qFormat/>
    <w:rsid w:val="00A448AA"/>
    <w:rPr>
      <w:b/>
      <w:bCs/>
    </w:rPr>
  </w:style>
  <w:style w:type="paragraph" w:styleId="a4">
    <w:name w:val="header"/>
    <w:basedOn w:val="a"/>
    <w:link w:val="Char"/>
    <w:uiPriority w:val="99"/>
    <w:semiHidden/>
    <w:unhideWhenUsed/>
    <w:rsid w:val="00DD2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294D"/>
    <w:rPr>
      <w:sz w:val="18"/>
      <w:szCs w:val="18"/>
    </w:rPr>
  </w:style>
  <w:style w:type="paragraph" w:styleId="a5">
    <w:name w:val="footer"/>
    <w:basedOn w:val="a"/>
    <w:link w:val="Char0"/>
    <w:uiPriority w:val="99"/>
    <w:semiHidden/>
    <w:unhideWhenUsed/>
    <w:rsid w:val="00DD29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294D"/>
    <w:rPr>
      <w:sz w:val="18"/>
      <w:szCs w:val="18"/>
    </w:rPr>
  </w:style>
</w:styles>
</file>

<file path=word/webSettings.xml><?xml version="1.0" encoding="utf-8"?>
<w:webSettings xmlns:r="http://schemas.openxmlformats.org/officeDocument/2006/relationships" xmlns:w="http://schemas.openxmlformats.org/wordprocessingml/2006/main">
  <w:divs>
    <w:div w:id="1917470516">
      <w:bodyDiv w:val="1"/>
      <w:marLeft w:val="0"/>
      <w:marRight w:val="0"/>
      <w:marTop w:val="0"/>
      <w:marBottom w:val="0"/>
      <w:divBdr>
        <w:top w:val="none" w:sz="0" w:space="0" w:color="auto"/>
        <w:left w:val="none" w:sz="0" w:space="0" w:color="auto"/>
        <w:bottom w:val="none" w:sz="0" w:space="0" w:color="auto"/>
        <w:right w:val="none" w:sz="0" w:space="0" w:color="auto"/>
      </w:divBdr>
      <w:divsChild>
        <w:div w:id="1430468637">
          <w:marLeft w:val="0"/>
          <w:marRight w:val="0"/>
          <w:marTop w:val="0"/>
          <w:marBottom w:val="0"/>
          <w:divBdr>
            <w:top w:val="none" w:sz="0" w:space="0" w:color="auto"/>
            <w:left w:val="none" w:sz="0" w:space="0" w:color="auto"/>
            <w:bottom w:val="none" w:sz="0" w:space="0" w:color="auto"/>
            <w:right w:val="none" w:sz="0" w:space="0" w:color="auto"/>
          </w:divBdr>
        </w:div>
        <w:div w:id="1231883834">
          <w:marLeft w:val="0"/>
          <w:marRight w:val="0"/>
          <w:marTop w:val="0"/>
          <w:marBottom w:val="0"/>
          <w:divBdr>
            <w:top w:val="none" w:sz="0" w:space="0" w:color="auto"/>
            <w:left w:val="none" w:sz="0" w:space="0" w:color="auto"/>
            <w:bottom w:val="none" w:sz="0" w:space="0" w:color="auto"/>
            <w:right w:val="none" w:sz="0" w:space="0" w:color="auto"/>
          </w:divBdr>
        </w:div>
        <w:div w:id="115225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2008-12-31T16:12:00Z</dcterms:created>
  <dcterms:modified xsi:type="dcterms:W3CDTF">2009-01-01T00:14:00Z</dcterms:modified>
</cp:coreProperties>
</file>