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150" w:beforeAutospacing="0" w:after="150" w:afterAutospacing="0" w:line="3000" w:lineRule="atLeast"/>
        <w:ind w:left="0" w:right="0"/>
        <w:jc w:val="left"/>
        <w:rPr>
          <w:rFonts w:hint="default" w:ascii="Arial" w:hAnsi="Arial" w:cs="Arial"/>
          <w:vanish/>
          <w:color w:val="000000"/>
          <w:sz w:val="0"/>
          <w:szCs w:val="0"/>
        </w:rPr>
      </w:pPr>
      <w:r>
        <w:rPr>
          <w:rFonts w:hint="default" w:ascii="Arial" w:hAnsi="Arial" w:eastAsia="宋体" w:cs="Arial"/>
          <w:color w:val="434343"/>
          <w:kern w:val="0"/>
          <w:sz w:val="0"/>
          <w:szCs w:val="0"/>
          <w:u w:val="none"/>
          <w:lang w:val="en-US" w:eastAsia="zh-CN" w:bidi="ar"/>
        </w:rPr>
        <w:fldChar w:fldCharType="begin"/>
      </w:r>
      <w:r>
        <w:rPr>
          <w:rFonts w:hint="default" w:ascii="Arial" w:hAnsi="Arial" w:eastAsia="宋体" w:cs="Arial"/>
          <w:color w:val="434343"/>
          <w:kern w:val="0"/>
          <w:sz w:val="0"/>
          <w:szCs w:val="0"/>
          <w:u w:val="none"/>
          <w:lang w:val="en-US" w:eastAsia="zh-CN" w:bidi="ar"/>
        </w:rPr>
        <w:instrText xml:space="preserve"> HYPERLINK "http://www.yanjin.gov.cn/gggs/2020/1106/javascript:;" </w:instrText>
      </w:r>
      <w:r>
        <w:rPr>
          <w:rFonts w:hint="default" w:ascii="Arial" w:hAnsi="Arial" w:eastAsia="宋体" w:cs="Arial"/>
          <w:color w:val="434343"/>
          <w:kern w:val="0"/>
          <w:sz w:val="0"/>
          <w:szCs w:val="0"/>
          <w:u w:val="none"/>
          <w:lang w:val="en-US" w:eastAsia="zh-CN" w:bidi="ar"/>
        </w:rPr>
        <w:fldChar w:fldCharType="separate"/>
      </w:r>
      <w:r>
        <w:rPr>
          <w:rFonts w:hint="default" w:ascii="Arial" w:hAnsi="Arial" w:eastAsia="宋体" w:cs="Arial"/>
          <w:color w:val="434343"/>
          <w:kern w:val="0"/>
          <w:sz w:val="0"/>
          <w:szCs w:val="0"/>
          <w:u w:val="none"/>
          <w:lang w:val="en-US" w:eastAsia="zh-CN" w:bidi="ar"/>
        </w:rPr>
        <w:fldChar w:fldCharType="end"/>
      </w:r>
      <w:r>
        <w:rPr>
          <w:rFonts w:hint="default" w:ascii="Arial" w:hAnsi="Arial" w:eastAsia="宋体" w:cs="Arial"/>
          <w:color w:val="434343"/>
          <w:kern w:val="0"/>
          <w:sz w:val="0"/>
          <w:szCs w:val="0"/>
          <w:u w:val="none"/>
          <w:lang w:val="en-US" w:eastAsia="zh-CN" w:bidi="ar"/>
        </w:rPr>
        <w:fldChar w:fldCharType="begin"/>
      </w:r>
      <w:r>
        <w:rPr>
          <w:rFonts w:hint="default" w:ascii="Arial" w:hAnsi="Arial" w:eastAsia="宋体" w:cs="Arial"/>
          <w:color w:val="434343"/>
          <w:kern w:val="0"/>
          <w:sz w:val="0"/>
          <w:szCs w:val="0"/>
          <w:u w:val="none"/>
          <w:lang w:val="en-US" w:eastAsia="zh-CN" w:bidi="ar"/>
        </w:rPr>
        <w:instrText xml:space="preserve"> HYPERLINK "http://www.yanjin.gov.cn/gggs/2020/1106/javascript:;" </w:instrText>
      </w:r>
      <w:r>
        <w:rPr>
          <w:rFonts w:hint="default" w:ascii="Arial" w:hAnsi="Arial" w:eastAsia="宋体" w:cs="Arial"/>
          <w:color w:val="434343"/>
          <w:kern w:val="0"/>
          <w:sz w:val="0"/>
          <w:szCs w:val="0"/>
          <w:u w:val="none"/>
          <w:lang w:val="en-US" w:eastAsia="zh-CN" w:bidi="ar"/>
        </w:rPr>
        <w:fldChar w:fldCharType="separate"/>
      </w:r>
      <w:r>
        <w:rPr>
          <w:rFonts w:hint="default" w:ascii="Arial" w:hAnsi="Arial" w:eastAsia="宋体" w:cs="Arial"/>
          <w:color w:val="434343"/>
          <w:kern w:val="0"/>
          <w:sz w:val="0"/>
          <w:szCs w:val="0"/>
          <w:u w:val="none"/>
          <w:lang w:val="en-US" w:eastAsia="zh-CN" w:bidi="ar"/>
        </w:rPr>
        <w:fldChar w:fldCharType="end"/>
      </w:r>
    </w:p>
    <w:p>
      <w:pPr>
        <w:pStyle w:val="5"/>
        <w:keepNext w:val="0"/>
        <w:keepLines w:val="0"/>
        <w:widowControl/>
        <w:suppressLineNumbers w:val="0"/>
        <w:spacing w:before="0" w:beforeAutospacing="0" w:after="0" w:afterAutospacing="0" w:line="405" w:lineRule="atLeast"/>
        <w:ind w:right="0"/>
        <w:rPr>
          <w:rFonts w:hint="eastAsia" w:ascii="方正小标宋简体" w:hAnsi="方正小标宋简体" w:eastAsia="方正小标宋简体" w:cs="方正小标宋简体"/>
          <w:b/>
          <w:bCs/>
          <w:color w:val="000000"/>
          <w:sz w:val="44"/>
          <w:szCs w:val="44"/>
          <w:lang w:val="en-US" w:eastAsia="zh-CN"/>
        </w:rPr>
      </w:pPr>
      <w:r>
        <w:rPr>
          <w:rFonts w:hint="eastAsia" w:ascii="方正小标宋简体" w:hAnsi="方正小标宋简体" w:eastAsia="方正小标宋简体" w:cs="方正小标宋简体"/>
          <w:b/>
          <w:bCs/>
          <w:color w:val="000000"/>
          <w:sz w:val="44"/>
          <w:szCs w:val="44"/>
          <w:lang w:val="en-US" w:eastAsia="zh-CN"/>
        </w:rPr>
        <w:drawing>
          <wp:inline distT="0" distB="0" distL="114300" distR="114300">
            <wp:extent cx="5240655" cy="3930650"/>
            <wp:effectExtent l="0" t="0" r="17145" b="12700"/>
            <wp:docPr id="4" name="图片 4" descr="dd3073b65408b111ccc38d1705aa9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dd3073b65408b111ccc38d1705aa926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40655" cy="3930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>
      <w:pPr>
        <w:pStyle w:val="5"/>
        <w:keepNext w:val="0"/>
        <w:keepLines w:val="0"/>
        <w:widowControl/>
        <w:suppressLineNumbers w:val="0"/>
        <w:spacing w:before="0" w:beforeAutospacing="0" w:after="0" w:afterAutospacing="0" w:line="405" w:lineRule="atLeast"/>
        <w:ind w:right="0"/>
        <w:rPr>
          <w:rFonts w:hint="eastAsia" w:ascii="方正小标宋简体" w:hAnsi="方正小标宋简体" w:eastAsia="方正小标宋简体" w:cs="方正小标宋简体"/>
          <w:b/>
          <w:bCs/>
          <w:color w:val="000000"/>
          <w:sz w:val="44"/>
          <w:szCs w:val="44"/>
          <w:lang w:val="en-US" w:eastAsia="zh-CN"/>
        </w:rPr>
      </w:pPr>
      <w:r>
        <w:rPr>
          <w:rFonts w:hint="eastAsia" w:ascii="方正小标宋简体" w:hAnsi="方正小标宋简体" w:eastAsia="方正小标宋简体" w:cs="方正小标宋简体"/>
          <w:b/>
          <w:bCs/>
          <w:color w:val="000000"/>
          <w:sz w:val="44"/>
          <w:szCs w:val="44"/>
          <w:lang w:val="en-US" w:eastAsia="zh-CN"/>
        </w:rPr>
        <w:drawing>
          <wp:inline distT="0" distB="0" distL="114300" distR="114300">
            <wp:extent cx="2557780" cy="3579495"/>
            <wp:effectExtent l="0" t="0" r="13970" b="1905"/>
            <wp:docPr id="2" name="图片 2" descr="51db8cc442f56b5b41673cc94d94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51db8cc442f56b5b41673cc94d9424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557780" cy="357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小标宋简体" w:hAnsi="方正小标宋简体" w:eastAsia="方正小标宋简体" w:cs="方正小标宋简体"/>
          <w:b/>
          <w:bCs/>
          <w:color w:val="000000"/>
          <w:sz w:val="44"/>
          <w:szCs w:val="44"/>
          <w:lang w:val="en-US" w:eastAsia="zh-CN"/>
        </w:rPr>
        <w:drawing>
          <wp:inline distT="0" distB="0" distL="114300" distR="114300">
            <wp:extent cx="2681605" cy="3576320"/>
            <wp:effectExtent l="0" t="0" r="4445" b="5080"/>
            <wp:docPr id="5" name="图片 5" descr="bfb052045cb095c4c32c5373040c86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bfb052045cb095c4c32c5373040c86e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681605" cy="357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keepNext w:val="0"/>
        <w:keepLines w:val="0"/>
        <w:widowControl/>
        <w:suppressLineNumbers w:val="0"/>
        <w:spacing w:before="0" w:beforeAutospacing="0" w:after="0" w:afterAutospacing="0" w:line="405" w:lineRule="atLeast"/>
        <w:ind w:right="0"/>
        <w:rPr>
          <w:rFonts w:hint="eastAsia" w:ascii="方正小标宋简体" w:hAnsi="方正小标宋简体" w:eastAsia="方正小标宋简体" w:cs="方正小标宋简体"/>
          <w:b/>
          <w:bCs/>
          <w:color w:val="000000"/>
          <w:sz w:val="44"/>
          <w:szCs w:val="44"/>
          <w:lang w:val="en-US" w:eastAsia="zh-CN"/>
        </w:rPr>
      </w:pPr>
    </w:p>
    <w:p>
      <w:pPr>
        <w:pStyle w:val="5"/>
        <w:keepNext w:val="0"/>
        <w:keepLines w:val="0"/>
        <w:widowControl/>
        <w:suppressLineNumbers w:val="0"/>
        <w:spacing w:before="0" w:beforeAutospacing="0" w:after="0" w:afterAutospacing="0" w:line="405" w:lineRule="atLeast"/>
        <w:ind w:right="0"/>
        <w:rPr>
          <w:rFonts w:hint="eastAsia" w:ascii="方正小标宋简体" w:hAnsi="方正小标宋简体" w:eastAsia="方正小标宋简体" w:cs="方正小标宋简体"/>
          <w:b/>
          <w:bCs/>
          <w:color w:val="000000"/>
          <w:sz w:val="44"/>
          <w:szCs w:val="44"/>
          <w:lang w:val="en-US" w:eastAsia="zh-CN"/>
        </w:rPr>
      </w:pPr>
    </w:p>
    <w:p>
      <w:pPr>
        <w:pStyle w:val="5"/>
        <w:keepNext w:val="0"/>
        <w:keepLines w:val="0"/>
        <w:widowControl/>
        <w:suppressLineNumbers w:val="0"/>
        <w:spacing w:before="0" w:beforeAutospacing="0" w:after="0" w:afterAutospacing="0" w:line="405" w:lineRule="atLeast"/>
        <w:ind w:right="0" w:firstLine="883" w:firstLineChars="200"/>
        <w:rPr>
          <w:rFonts w:hint="eastAsia" w:ascii="方正小标宋简体" w:hAnsi="方正小标宋简体" w:eastAsia="方正小标宋简体" w:cs="方正小标宋简体"/>
          <w:b/>
          <w:bCs/>
          <w:color w:val="000000"/>
          <w:sz w:val="44"/>
          <w:szCs w:val="44"/>
          <w:lang w:val="en-US" w:eastAsia="zh-CN"/>
        </w:rPr>
      </w:pPr>
      <w:r>
        <w:rPr>
          <w:rFonts w:hint="eastAsia" w:ascii="方正小标宋简体" w:hAnsi="方正小标宋简体" w:eastAsia="方正小标宋简体" w:cs="方正小标宋简体"/>
          <w:b/>
          <w:bCs/>
          <w:color w:val="000000"/>
          <w:sz w:val="44"/>
          <w:szCs w:val="44"/>
          <w:lang w:val="en-US" w:eastAsia="zh-CN"/>
        </w:rPr>
        <w:t>淇滨区农业机械报废更新补贴宣传页</w:t>
      </w:r>
    </w:p>
    <w:p>
      <w:pPr>
        <w:pStyle w:val="5"/>
        <w:keepNext w:val="0"/>
        <w:keepLines w:val="0"/>
        <w:widowControl/>
        <w:suppressLineNumbers w:val="0"/>
        <w:spacing w:before="0" w:beforeAutospacing="0" w:after="0" w:afterAutospacing="0" w:line="405" w:lineRule="atLeast"/>
        <w:ind w:left="0" w:right="0" w:firstLine="555"/>
        <w:rPr>
          <w:rFonts w:hint="eastAsia" w:ascii="仿宋" w:hAnsi="仿宋" w:eastAsia="仿宋" w:cs="仿宋"/>
          <w:color w:val="000000"/>
          <w:sz w:val="32"/>
          <w:szCs w:val="32"/>
        </w:rPr>
      </w:pPr>
      <w:r>
        <w:rPr>
          <w:rFonts w:hint="eastAsia" w:ascii="仿宋" w:hAnsi="仿宋" w:eastAsia="仿宋" w:cs="仿宋"/>
          <w:color w:val="000000"/>
          <w:sz w:val="32"/>
          <w:szCs w:val="32"/>
        </w:rPr>
        <w:t>为促进农机装备结构优化和农业绿色生态发展，强化农机安全生产，根据《</w:t>
      </w:r>
      <w:r>
        <w:rPr>
          <w:rFonts w:hint="eastAsia" w:ascii="仿宋" w:hAnsi="仿宋" w:eastAsia="仿宋" w:cs="仿宋"/>
          <w:color w:val="000000"/>
          <w:sz w:val="32"/>
          <w:szCs w:val="32"/>
          <w:lang w:val="en-US" w:eastAsia="zh-CN"/>
        </w:rPr>
        <w:t>淇滨区</w:t>
      </w:r>
      <w:r>
        <w:rPr>
          <w:rFonts w:hint="eastAsia" w:ascii="仿宋" w:hAnsi="仿宋" w:eastAsia="仿宋" w:cs="仿宋"/>
          <w:color w:val="000000"/>
          <w:sz w:val="32"/>
          <w:szCs w:val="32"/>
        </w:rPr>
        <w:t>农机报废更新工作方案》，我</w:t>
      </w:r>
      <w:r>
        <w:rPr>
          <w:rFonts w:hint="eastAsia" w:ascii="仿宋" w:hAnsi="仿宋" w:eastAsia="仿宋" w:cs="仿宋"/>
          <w:color w:val="000000"/>
          <w:sz w:val="32"/>
          <w:szCs w:val="32"/>
          <w:lang w:val="en-US" w:eastAsia="zh-CN"/>
        </w:rPr>
        <w:t>区</w:t>
      </w:r>
      <w:r>
        <w:rPr>
          <w:rFonts w:hint="eastAsia" w:ascii="仿宋" w:hAnsi="仿宋" w:eastAsia="仿宋" w:cs="仿宋"/>
          <w:color w:val="000000"/>
          <w:sz w:val="32"/>
          <w:szCs w:val="32"/>
        </w:rPr>
        <w:t>开展农机报废更新工作。通过政策支持进一步加大耗能高、污染重、安全性能差的老旧农机淘汰力度。允许只报废不更新，允许机主购买与报废种类和数量不同的农业机械。补贴情况如下：</w:t>
      </w:r>
    </w:p>
    <w:tbl>
      <w:tblPr>
        <w:tblStyle w:val="6"/>
        <w:tblW w:w="8944" w:type="dxa"/>
        <w:tblInd w:w="0" w:type="dxa"/>
        <w:shd w:val="clear" w:color="auto" w:fill="auto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516"/>
        <w:gridCol w:w="840"/>
        <w:gridCol w:w="3270"/>
        <w:gridCol w:w="3165"/>
        <w:gridCol w:w="1153"/>
      </w:tblGrid>
      <w:tr>
        <w:tblPrEx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51" w:hRule="atLeast"/>
        </w:trPr>
        <w:tc>
          <w:tcPr>
            <w:tcW w:w="5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rPr>
                <w:rFonts w:hint="eastAsia" w:ascii="仿宋" w:hAnsi="仿宋" w:eastAsia="仿宋" w:cs="仿宋"/>
                <w:i w:val="0"/>
                <w:color w:val="000000"/>
                <w:sz w:val="32"/>
                <w:szCs w:val="32"/>
                <w:u w:val="none"/>
              </w:rPr>
            </w:pPr>
          </w:p>
        </w:tc>
        <w:tc>
          <w:tcPr>
            <w:tcW w:w="8428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b/>
                <w:i w:val="0"/>
                <w:color w:val="333333"/>
                <w:sz w:val="32"/>
                <w:szCs w:val="32"/>
                <w:u w:val="none"/>
              </w:rPr>
            </w:pPr>
            <w:r>
              <w:rPr>
                <w:rFonts w:hint="eastAsia" w:ascii="仿宋" w:hAnsi="仿宋" w:eastAsia="仿宋" w:cs="仿宋"/>
                <w:b/>
                <w:i w:val="0"/>
                <w:color w:val="333333"/>
                <w:kern w:val="0"/>
                <w:sz w:val="32"/>
                <w:szCs w:val="32"/>
                <w:u w:val="none"/>
                <w:lang w:val="en-US" w:eastAsia="zh-CN" w:bidi="ar"/>
              </w:rPr>
              <w:t>农机报废更新补贴额一览表</w:t>
            </w:r>
          </w:p>
        </w:tc>
      </w:tr>
      <w:tr>
        <w:tblPrEx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98" w:hRule="atLeast"/>
        </w:trPr>
        <w:tc>
          <w:tcPr>
            <w:tcW w:w="5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序号</w:t>
            </w:r>
          </w:p>
        </w:tc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Style w:val="24"/>
                <w:rFonts w:hint="eastAsia" w:ascii="仿宋" w:hAnsi="仿宋" w:eastAsia="仿宋" w:cs="仿宋"/>
                <w:sz w:val="24"/>
                <w:szCs w:val="24"/>
                <w:lang w:val="en-US" w:eastAsia="zh-CN" w:bidi="ar"/>
              </w:rPr>
              <w:t>品目</w:t>
            </w:r>
          </w:p>
        </w:tc>
        <w:tc>
          <w:tcPr>
            <w:tcW w:w="32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Style w:val="24"/>
                <w:rFonts w:hint="eastAsia" w:ascii="仿宋" w:hAnsi="仿宋" w:eastAsia="仿宋" w:cs="仿宋"/>
                <w:sz w:val="24"/>
                <w:szCs w:val="24"/>
                <w:lang w:val="en-US" w:eastAsia="zh-CN" w:bidi="ar"/>
              </w:rPr>
              <w:t>机</w:t>
            </w:r>
            <w:r>
              <w:rPr>
                <w:rStyle w:val="25"/>
                <w:rFonts w:hint="eastAsia" w:ascii="仿宋" w:hAnsi="仿宋" w:eastAsia="仿宋" w:cs="仿宋"/>
                <w:sz w:val="24"/>
                <w:szCs w:val="24"/>
                <w:lang w:val="en-US" w:eastAsia="zh-CN" w:bidi="ar"/>
              </w:rPr>
              <w:t xml:space="preserve">    </w:t>
            </w:r>
            <w:r>
              <w:rPr>
                <w:rStyle w:val="24"/>
                <w:rFonts w:hint="eastAsia" w:ascii="仿宋" w:hAnsi="仿宋" w:eastAsia="仿宋" w:cs="仿宋"/>
                <w:sz w:val="24"/>
                <w:szCs w:val="24"/>
                <w:lang w:val="en-US" w:eastAsia="zh-CN" w:bidi="ar"/>
              </w:rPr>
              <w:t>型</w:t>
            </w:r>
          </w:p>
        </w:tc>
        <w:tc>
          <w:tcPr>
            <w:tcW w:w="31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基本配置和参数</w:t>
            </w:r>
          </w:p>
        </w:tc>
        <w:tc>
          <w:tcPr>
            <w:tcW w:w="115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Style w:val="24"/>
                <w:rFonts w:hint="eastAsia" w:ascii="仿宋" w:hAnsi="仿宋" w:eastAsia="仿宋" w:cs="仿宋"/>
                <w:sz w:val="24"/>
                <w:szCs w:val="24"/>
                <w:lang w:val="en-US" w:eastAsia="zh-CN" w:bidi="ar"/>
              </w:rPr>
              <w:t>报废补贴</w:t>
            </w:r>
            <w:r>
              <w:rPr>
                <w:rStyle w:val="25"/>
                <w:rFonts w:hint="eastAsia" w:ascii="仿宋" w:hAnsi="仿宋" w:eastAsia="仿宋" w:cs="仿宋"/>
                <w:sz w:val="24"/>
                <w:szCs w:val="24"/>
                <w:lang w:val="en-US" w:eastAsia="zh-CN" w:bidi="ar"/>
              </w:rPr>
              <w:br w:type="textWrapping"/>
            </w:r>
            <w:r>
              <w:rPr>
                <w:rStyle w:val="24"/>
                <w:rFonts w:hint="eastAsia" w:ascii="仿宋" w:hAnsi="仿宋" w:eastAsia="仿宋" w:cs="仿宋"/>
                <w:sz w:val="24"/>
                <w:szCs w:val="24"/>
                <w:lang w:val="en-US" w:eastAsia="zh-CN" w:bidi="ar"/>
              </w:rPr>
              <w:t>额（元）</w:t>
            </w:r>
          </w:p>
        </w:tc>
      </w:tr>
      <w:tr>
        <w:tblPrEx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65" w:hRule="atLeast"/>
        </w:trPr>
        <w:tc>
          <w:tcPr>
            <w:tcW w:w="516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840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拖拉机</w:t>
            </w:r>
          </w:p>
        </w:tc>
        <w:tc>
          <w:tcPr>
            <w:tcW w:w="32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20马力及以下</w:t>
            </w:r>
          </w:p>
        </w:tc>
        <w:tc>
          <w:tcPr>
            <w:tcW w:w="31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≤20马力</w:t>
            </w:r>
          </w:p>
        </w:tc>
        <w:tc>
          <w:tcPr>
            <w:tcW w:w="115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1000</w:t>
            </w:r>
          </w:p>
        </w:tc>
      </w:tr>
      <w:tr>
        <w:tblPrEx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65" w:hRule="atLeast"/>
        </w:trPr>
        <w:tc>
          <w:tcPr>
            <w:tcW w:w="51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hint="eastAsia" w:ascii="仿宋" w:hAnsi="仿宋" w:eastAsia="仿宋" w:cs="仿宋"/>
                <w:i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840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hint="eastAsia" w:ascii="仿宋" w:hAnsi="仿宋" w:eastAsia="仿宋" w:cs="仿宋"/>
                <w:i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32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20-50马力（含）</w:t>
            </w:r>
          </w:p>
        </w:tc>
        <w:tc>
          <w:tcPr>
            <w:tcW w:w="31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20马力＜功率≤50马力</w:t>
            </w:r>
          </w:p>
        </w:tc>
        <w:tc>
          <w:tcPr>
            <w:tcW w:w="115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3500</w:t>
            </w:r>
          </w:p>
        </w:tc>
      </w:tr>
      <w:tr>
        <w:tblPrEx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65" w:hRule="atLeast"/>
        </w:trPr>
        <w:tc>
          <w:tcPr>
            <w:tcW w:w="51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hint="eastAsia" w:ascii="仿宋" w:hAnsi="仿宋" w:eastAsia="仿宋" w:cs="仿宋"/>
                <w:i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840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hint="eastAsia" w:ascii="仿宋" w:hAnsi="仿宋" w:eastAsia="仿宋" w:cs="仿宋"/>
                <w:i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32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50-80马力（含）</w:t>
            </w:r>
          </w:p>
        </w:tc>
        <w:tc>
          <w:tcPr>
            <w:tcW w:w="31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50马力＜功率≤80马力</w:t>
            </w:r>
          </w:p>
        </w:tc>
        <w:tc>
          <w:tcPr>
            <w:tcW w:w="115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7000</w:t>
            </w:r>
          </w:p>
        </w:tc>
      </w:tr>
      <w:tr>
        <w:tblPrEx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65" w:hRule="atLeast"/>
        </w:trPr>
        <w:tc>
          <w:tcPr>
            <w:tcW w:w="51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hint="eastAsia" w:ascii="仿宋" w:hAnsi="仿宋" w:eastAsia="仿宋" w:cs="仿宋"/>
                <w:i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840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hint="eastAsia" w:ascii="仿宋" w:hAnsi="仿宋" w:eastAsia="仿宋" w:cs="仿宋"/>
                <w:i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32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80-100马力（含）</w:t>
            </w:r>
          </w:p>
        </w:tc>
        <w:tc>
          <w:tcPr>
            <w:tcW w:w="31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80马力＜功率≤100马力</w:t>
            </w:r>
          </w:p>
        </w:tc>
        <w:tc>
          <w:tcPr>
            <w:tcW w:w="115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10000</w:t>
            </w:r>
          </w:p>
        </w:tc>
      </w:tr>
      <w:tr>
        <w:tblPrEx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65" w:hRule="atLeast"/>
        </w:trPr>
        <w:tc>
          <w:tcPr>
            <w:tcW w:w="51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hint="eastAsia" w:ascii="仿宋" w:hAnsi="仿宋" w:eastAsia="仿宋" w:cs="仿宋"/>
                <w:i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840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hint="eastAsia" w:ascii="仿宋" w:hAnsi="仿宋" w:eastAsia="仿宋" w:cs="仿宋"/>
                <w:i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32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100马力以上</w:t>
            </w:r>
          </w:p>
        </w:tc>
        <w:tc>
          <w:tcPr>
            <w:tcW w:w="31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＞100马力</w:t>
            </w:r>
          </w:p>
        </w:tc>
        <w:tc>
          <w:tcPr>
            <w:tcW w:w="115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12000</w:t>
            </w:r>
          </w:p>
        </w:tc>
      </w:tr>
      <w:tr>
        <w:tblPrEx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53" w:hRule="atLeast"/>
        </w:trPr>
        <w:tc>
          <w:tcPr>
            <w:tcW w:w="516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840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联合收割机</w:t>
            </w:r>
          </w:p>
        </w:tc>
        <w:tc>
          <w:tcPr>
            <w:tcW w:w="32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自走式全喂入稻麦联合收割机</w:t>
            </w:r>
          </w:p>
        </w:tc>
        <w:tc>
          <w:tcPr>
            <w:tcW w:w="31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0.5kg/s＜喂入量≤1kg/s</w:t>
            </w:r>
          </w:p>
        </w:tc>
        <w:tc>
          <w:tcPr>
            <w:tcW w:w="115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3000</w:t>
            </w:r>
          </w:p>
        </w:tc>
      </w:tr>
      <w:tr>
        <w:tblPrEx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53" w:hRule="atLeast"/>
        </w:trPr>
        <w:tc>
          <w:tcPr>
            <w:tcW w:w="51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hint="eastAsia" w:ascii="仿宋" w:hAnsi="仿宋" w:eastAsia="仿宋" w:cs="仿宋"/>
                <w:i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840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hint="eastAsia" w:ascii="仿宋" w:hAnsi="仿宋" w:eastAsia="仿宋" w:cs="仿宋"/>
                <w:i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32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自走式全喂入稻麦联合收割机</w:t>
            </w:r>
          </w:p>
        </w:tc>
        <w:tc>
          <w:tcPr>
            <w:tcW w:w="31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1kg/s＜喂入量≤3kg/s</w:t>
            </w:r>
          </w:p>
        </w:tc>
        <w:tc>
          <w:tcPr>
            <w:tcW w:w="115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5500</w:t>
            </w:r>
          </w:p>
        </w:tc>
      </w:tr>
      <w:tr>
        <w:tblPrEx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53" w:hRule="atLeast"/>
        </w:trPr>
        <w:tc>
          <w:tcPr>
            <w:tcW w:w="51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hint="eastAsia" w:ascii="仿宋" w:hAnsi="仿宋" w:eastAsia="仿宋" w:cs="仿宋"/>
                <w:i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840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hint="eastAsia" w:ascii="仿宋" w:hAnsi="仿宋" w:eastAsia="仿宋" w:cs="仿宋"/>
                <w:i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32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自走式全喂入稻麦联合收割机</w:t>
            </w:r>
          </w:p>
        </w:tc>
        <w:tc>
          <w:tcPr>
            <w:tcW w:w="31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3kg/s＜喂入量≤4kg/s</w:t>
            </w:r>
          </w:p>
        </w:tc>
        <w:tc>
          <w:tcPr>
            <w:tcW w:w="115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7300</w:t>
            </w:r>
          </w:p>
        </w:tc>
      </w:tr>
      <w:tr>
        <w:tblPrEx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53" w:hRule="atLeast"/>
        </w:trPr>
        <w:tc>
          <w:tcPr>
            <w:tcW w:w="51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hint="eastAsia" w:ascii="仿宋" w:hAnsi="仿宋" w:eastAsia="仿宋" w:cs="仿宋"/>
                <w:i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840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hint="eastAsia" w:ascii="仿宋" w:hAnsi="仿宋" w:eastAsia="仿宋" w:cs="仿宋"/>
                <w:i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32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自走式全喂入稻麦联合收割机</w:t>
            </w:r>
          </w:p>
        </w:tc>
        <w:tc>
          <w:tcPr>
            <w:tcW w:w="31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喂入量＞4kg/s</w:t>
            </w:r>
          </w:p>
        </w:tc>
        <w:tc>
          <w:tcPr>
            <w:tcW w:w="115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11000</w:t>
            </w:r>
          </w:p>
        </w:tc>
      </w:tr>
      <w:tr>
        <w:tblPrEx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53" w:hRule="atLeast"/>
        </w:trPr>
        <w:tc>
          <w:tcPr>
            <w:tcW w:w="51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hint="eastAsia" w:ascii="仿宋" w:hAnsi="仿宋" w:eastAsia="仿宋" w:cs="仿宋"/>
                <w:i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840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hint="eastAsia" w:ascii="仿宋" w:hAnsi="仿宋" w:eastAsia="仿宋" w:cs="仿宋"/>
                <w:i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32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自走式半喂入稻麦联合收割机</w:t>
            </w:r>
          </w:p>
        </w:tc>
        <w:tc>
          <w:tcPr>
            <w:tcW w:w="31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收获行数：3行，功率≥35马力</w:t>
            </w:r>
          </w:p>
        </w:tc>
        <w:tc>
          <w:tcPr>
            <w:tcW w:w="115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7200</w:t>
            </w:r>
          </w:p>
        </w:tc>
      </w:tr>
      <w:tr>
        <w:tblPrEx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53" w:hRule="atLeast"/>
        </w:trPr>
        <w:tc>
          <w:tcPr>
            <w:tcW w:w="51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hint="eastAsia" w:ascii="仿宋" w:hAnsi="仿宋" w:eastAsia="仿宋" w:cs="仿宋"/>
                <w:i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840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hint="eastAsia" w:ascii="仿宋" w:hAnsi="仿宋" w:eastAsia="仿宋" w:cs="仿宋"/>
                <w:i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32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自走式半喂入稻麦联合收割机</w:t>
            </w:r>
          </w:p>
        </w:tc>
        <w:tc>
          <w:tcPr>
            <w:tcW w:w="31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收获行数≥4行，功率≥35马力</w:t>
            </w:r>
          </w:p>
        </w:tc>
        <w:tc>
          <w:tcPr>
            <w:tcW w:w="115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17500</w:t>
            </w:r>
          </w:p>
        </w:tc>
      </w:tr>
      <w:tr>
        <w:tblPrEx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53" w:hRule="atLeast"/>
        </w:trPr>
        <w:tc>
          <w:tcPr>
            <w:tcW w:w="51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hint="eastAsia" w:ascii="仿宋" w:hAnsi="仿宋" w:eastAsia="仿宋" w:cs="仿宋"/>
                <w:i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840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hint="eastAsia" w:ascii="仿宋" w:hAnsi="仿宋" w:eastAsia="仿宋" w:cs="仿宋"/>
                <w:i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32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自走式玉米联合收割机</w:t>
            </w:r>
          </w:p>
        </w:tc>
        <w:tc>
          <w:tcPr>
            <w:tcW w:w="31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收获行数：2行</w:t>
            </w:r>
          </w:p>
        </w:tc>
        <w:tc>
          <w:tcPr>
            <w:tcW w:w="115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7200</w:t>
            </w:r>
          </w:p>
        </w:tc>
      </w:tr>
      <w:tr>
        <w:tblPrEx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53" w:hRule="atLeast"/>
        </w:trPr>
        <w:tc>
          <w:tcPr>
            <w:tcW w:w="51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hint="eastAsia" w:ascii="仿宋" w:hAnsi="仿宋" w:eastAsia="仿宋" w:cs="仿宋"/>
                <w:i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840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hint="eastAsia" w:ascii="仿宋" w:hAnsi="仿宋" w:eastAsia="仿宋" w:cs="仿宋"/>
                <w:i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32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自走式玉米联合收割机</w:t>
            </w:r>
          </w:p>
        </w:tc>
        <w:tc>
          <w:tcPr>
            <w:tcW w:w="31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收获行数：3行</w:t>
            </w:r>
          </w:p>
        </w:tc>
        <w:tc>
          <w:tcPr>
            <w:tcW w:w="115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12500</w:t>
            </w:r>
          </w:p>
        </w:tc>
      </w:tr>
      <w:tr>
        <w:tblPrEx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53" w:hRule="atLeast"/>
        </w:trPr>
        <w:tc>
          <w:tcPr>
            <w:tcW w:w="51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hint="eastAsia" w:ascii="仿宋" w:hAnsi="仿宋" w:eastAsia="仿宋" w:cs="仿宋"/>
                <w:i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840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hint="eastAsia" w:ascii="仿宋" w:hAnsi="仿宋" w:eastAsia="仿宋" w:cs="仿宋"/>
                <w:i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32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自走式玉米联合收割机</w:t>
            </w:r>
          </w:p>
        </w:tc>
        <w:tc>
          <w:tcPr>
            <w:tcW w:w="31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收获行数≥4行</w:t>
            </w:r>
          </w:p>
        </w:tc>
        <w:tc>
          <w:tcPr>
            <w:tcW w:w="115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20000</w:t>
            </w:r>
          </w:p>
        </w:tc>
      </w:tr>
      <w:tr>
        <w:tblPrEx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53" w:hRule="atLeast"/>
        </w:trPr>
        <w:tc>
          <w:tcPr>
            <w:tcW w:w="51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hint="eastAsia" w:ascii="仿宋" w:hAnsi="仿宋" w:eastAsia="仿宋" w:cs="仿宋"/>
                <w:i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840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hint="eastAsia" w:ascii="仿宋" w:hAnsi="仿宋" w:eastAsia="仿宋" w:cs="仿宋"/>
                <w:i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32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悬挂式玉米联合收割机</w:t>
            </w:r>
          </w:p>
        </w:tc>
        <w:tc>
          <w:tcPr>
            <w:tcW w:w="31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收获行数：1-2行</w:t>
            </w:r>
          </w:p>
        </w:tc>
        <w:tc>
          <w:tcPr>
            <w:tcW w:w="115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3000</w:t>
            </w:r>
          </w:p>
        </w:tc>
      </w:tr>
      <w:tr>
        <w:tblPrEx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53" w:hRule="atLeast"/>
        </w:trPr>
        <w:tc>
          <w:tcPr>
            <w:tcW w:w="51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hint="eastAsia" w:ascii="仿宋" w:hAnsi="仿宋" w:eastAsia="仿宋" w:cs="仿宋"/>
                <w:i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840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hint="eastAsia" w:ascii="仿宋" w:hAnsi="仿宋" w:eastAsia="仿宋" w:cs="仿宋"/>
                <w:i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3270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悬挂式玉米联合收割机</w:t>
            </w:r>
          </w:p>
        </w:tc>
        <w:tc>
          <w:tcPr>
            <w:tcW w:w="3165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收获行数：3-4行</w:t>
            </w:r>
          </w:p>
        </w:tc>
        <w:tc>
          <w:tcPr>
            <w:tcW w:w="1153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5500</w:t>
            </w:r>
          </w:p>
        </w:tc>
      </w:tr>
      <w:tr>
        <w:tblPrEx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31" w:hRule="atLeast"/>
        </w:trPr>
        <w:tc>
          <w:tcPr>
            <w:tcW w:w="516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</w:t>
            </w:r>
          </w:p>
        </w:tc>
        <w:tc>
          <w:tcPr>
            <w:tcW w:w="840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饲料（草）粉碎机</w:t>
            </w:r>
          </w:p>
        </w:tc>
        <w:tc>
          <w:tcPr>
            <w:tcW w:w="32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400-550mm饲料粉碎机</w:t>
            </w:r>
          </w:p>
        </w:tc>
        <w:tc>
          <w:tcPr>
            <w:tcW w:w="31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400mm≤转子直径＜550mm</w:t>
            </w:r>
          </w:p>
        </w:tc>
        <w:tc>
          <w:tcPr>
            <w:tcW w:w="115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150</w:t>
            </w:r>
          </w:p>
        </w:tc>
      </w:tr>
      <w:tr>
        <w:tblPrEx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31" w:hRule="atLeast"/>
        </w:trPr>
        <w:tc>
          <w:tcPr>
            <w:tcW w:w="51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hint="eastAsia" w:ascii="仿宋" w:hAnsi="仿宋" w:eastAsia="仿宋" w:cs="仿宋"/>
                <w:i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840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rPr>
                <w:rFonts w:hint="eastAsia" w:ascii="仿宋" w:hAnsi="仿宋" w:eastAsia="仿宋" w:cs="仿宋"/>
                <w:i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32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550mm及以上饲料粉碎机</w:t>
            </w:r>
          </w:p>
        </w:tc>
        <w:tc>
          <w:tcPr>
            <w:tcW w:w="31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转子直径≥550mm</w:t>
            </w:r>
          </w:p>
        </w:tc>
        <w:tc>
          <w:tcPr>
            <w:tcW w:w="115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300</w:t>
            </w:r>
          </w:p>
        </w:tc>
      </w:tr>
      <w:tr>
        <w:tblPrEx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31" w:hRule="atLeast"/>
        </w:trPr>
        <w:tc>
          <w:tcPr>
            <w:tcW w:w="5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玉米脱粒机</w:t>
            </w:r>
          </w:p>
        </w:tc>
        <w:tc>
          <w:tcPr>
            <w:tcW w:w="32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生产率10t/h及以上玉米脱粒机</w:t>
            </w:r>
          </w:p>
        </w:tc>
        <w:tc>
          <w:tcPr>
            <w:tcW w:w="31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生产率≥10t/h</w:t>
            </w:r>
          </w:p>
        </w:tc>
        <w:tc>
          <w:tcPr>
            <w:tcW w:w="115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700</w:t>
            </w:r>
          </w:p>
        </w:tc>
      </w:tr>
      <w:tr>
        <w:tblPrEx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31" w:hRule="atLeast"/>
        </w:trPr>
        <w:tc>
          <w:tcPr>
            <w:tcW w:w="5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</w:t>
            </w:r>
          </w:p>
        </w:tc>
        <w:tc>
          <w:tcPr>
            <w:tcW w:w="8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花生摘果机</w:t>
            </w:r>
          </w:p>
        </w:tc>
        <w:tc>
          <w:tcPr>
            <w:tcW w:w="32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配套动力7kW及以上，花生摘果机</w:t>
            </w:r>
          </w:p>
        </w:tc>
        <w:tc>
          <w:tcPr>
            <w:tcW w:w="31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花生摘果机，配套动力≥7kW</w:t>
            </w:r>
          </w:p>
        </w:tc>
        <w:tc>
          <w:tcPr>
            <w:tcW w:w="115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400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59" w:hRule="atLeast"/>
        </w:trPr>
        <w:tc>
          <w:tcPr>
            <w:tcW w:w="516" w:type="dxa"/>
            <w:vMerge w:val="restart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7</w:t>
            </w:r>
          </w:p>
        </w:tc>
        <w:tc>
          <w:tcPr>
            <w:tcW w:w="840" w:type="dxa"/>
            <w:vMerge w:val="restart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铡草机</w:t>
            </w:r>
          </w:p>
        </w:tc>
        <w:tc>
          <w:tcPr>
            <w:tcW w:w="32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6—9t/h铡草机</w:t>
            </w:r>
          </w:p>
        </w:tc>
        <w:tc>
          <w:tcPr>
            <w:tcW w:w="31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6t/h≤生产率＜9t/h</w:t>
            </w:r>
          </w:p>
        </w:tc>
        <w:tc>
          <w:tcPr>
            <w:tcW w:w="115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350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59" w:hRule="atLeast"/>
        </w:trPr>
        <w:tc>
          <w:tcPr>
            <w:tcW w:w="516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hint="eastAsia" w:ascii="仿宋" w:hAnsi="仿宋" w:eastAsia="仿宋" w:cs="仿宋"/>
                <w:i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840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hint="eastAsia" w:ascii="仿宋" w:hAnsi="仿宋" w:eastAsia="仿宋" w:cs="仿宋"/>
                <w:i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32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9—15t/h铡草机</w:t>
            </w:r>
          </w:p>
        </w:tc>
        <w:tc>
          <w:tcPr>
            <w:tcW w:w="31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9t/h≤生产率＜15t/h</w:t>
            </w:r>
          </w:p>
        </w:tc>
        <w:tc>
          <w:tcPr>
            <w:tcW w:w="115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750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54" w:hRule="atLeast"/>
        </w:trPr>
        <w:tc>
          <w:tcPr>
            <w:tcW w:w="516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hint="eastAsia" w:ascii="仿宋" w:hAnsi="仿宋" w:eastAsia="仿宋" w:cs="仿宋"/>
                <w:i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840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hint="eastAsia" w:ascii="仿宋" w:hAnsi="仿宋" w:eastAsia="仿宋" w:cs="仿宋"/>
                <w:i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32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15-20t/h铡草机</w:t>
            </w:r>
          </w:p>
        </w:tc>
        <w:tc>
          <w:tcPr>
            <w:tcW w:w="31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15t/h≤生产率＜20t/h</w:t>
            </w:r>
          </w:p>
        </w:tc>
        <w:tc>
          <w:tcPr>
            <w:tcW w:w="115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850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59" w:hRule="atLeast"/>
        </w:trPr>
        <w:tc>
          <w:tcPr>
            <w:tcW w:w="516" w:type="dxa"/>
            <w:vMerge w:val="continue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hint="eastAsia" w:ascii="仿宋" w:hAnsi="仿宋" w:eastAsia="仿宋" w:cs="仿宋"/>
                <w:i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840" w:type="dxa"/>
            <w:vMerge w:val="continue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hint="eastAsia" w:ascii="仿宋" w:hAnsi="仿宋" w:eastAsia="仿宋" w:cs="仿宋"/>
                <w:i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32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20t/h及以上铡草机</w:t>
            </w:r>
          </w:p>
        </w:tc>
        <w:tc>
          <w:tcPr>
            <w:tcW w:w="31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仿宋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生产率≥20t/h</w:t>
            </w:r>
          </w:p>
        </w:tc>
        <w:tc>
          <w:tcPr>
            <w:tcW w:w="115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2400</w:t>
            </w:r>
          </w:p>
        </w:tc>
      </w:tr>
    </w:tbl>
    <w:p>
      <w:pPr>
        <w:pStyle w:val="5"/>
        <w:keepNext w:val="0"/>
        <w:keepLines w:val="0"/>
        <w:widowControl/>
        <w:numPr>
          <w:ilvl w:val="0"/>
          <w:numId w:val="0"/>
        </w:numPr>
        <w:suppressLineNumbers w:val="0"/>
        <w:spacing w:before="0" w:beforeAutospacing="0" w:after="0" w:afterAutospacing="0" w:line="405" w:lineRule="atLeast"/>
        <w:ind w:leftChars="304" w:right="0" w:rightChars="0"/>
        <w:rPr>
          <w:rFonts w:hint="eastAsia" w:ascii="仿宋" w:hAnsi="仿宋" w:eastAsia="仿宋" w:cs="仿宋"/>
          <w:color w:val="000000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color w:val="000000"/>
          <w:sz w:val="32"/>
          <w:szCs w:val="32"/>
          <w:lang w:val="en-US" w:eastAsia="zh-CN"/>
        </w:rPr>
        <w:t>1.淇滨区农业农村局</w:t>
      </w:r>
    </w:p>
    <w:p>
      <w:pPr>
        <w:pStyle w:val="5"/>
        <w:keepNext w:val="0"/>
        <w:keepLines w:val="0"/>
        <w:widowControl/>
        <w:numPr>
          <w:ilvl w:val="0"/>
          <w:numId w:val="0"/>
        </w:numPr>
        <w:suppressLineNumbers w:val="0"/>
        <w:spacing w:before="0" w:beforeAutospacing="0" w:after="0" w:afterAutospacing="0" w:line="405" w:lineRule="atLeast"/>
        <w:ind w:right="0" w:rightChars="0" w:firstLine="640" w:firstLineChars="200"/>
        <w:rPr>
          <w:rFonts w:hint="eastAsia" w:ascii="仿宋" w:hAnsi="仿宋" w:eastAsia="仿宋" w:cs="仿宋"/>
          <w:color w:val="000000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color w:val="000000"/>
          <w:sz w:val="32"/>
          <w:szCs w:val="32"/>
          <w:lang w:val="en-US" w:eastAsia="zh-CN"/>
        </w:rPr>
        <w:t xml:space="preserve">咨询电话:0392-3663510        </w:t>
      </w:r>
    </w:p>
    <w:p>
      <w:pPr>
        <w:pStyle w:val="5"/>
        <w:keepNext w:val="0"/>
        <w:keepLines w:val="0"/>
        <w:widowControl/>
        <w:numPr>
          <w:ilvl w:val="0"/>
          <w:numId w:val="0"/>
        </w:numPr>
        <w:suppressLineNumbers w:val="0"/>
        <w:spacing w:before="0" w:beforeAutospacing="0" w:after="0" w:afterAutospacing="0" w:line="405" w:lineRule="atLeast"/>
        <w:ind w:leftChars="304" w:right="0" w:rightChars="0"/>
        <w:rPr>
          <w:rFonts w:hint="eastAsia" w:ascii="仿宋" w:hAnsi="仿宋" w:eastAsia="仿宋" w:cs="仿宋"/>
          <w:color w:val="000000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color w:val="000000"/>
          <w:sz w:val="32"/>
          <w:szCs w:val="32"/>
          <w:lang w:val="en-US" w:eastAsia="zh-CN"/>
        </w:rPr>
        <w:t>2.鹤壁市强民再生物资回收有限公司</w:t>
      </w:r>
    </w:p>
    <w:p>
      <w:pPr>
        <w:pStyle w:val="5"/>
        <w:keepNext w:val="0"/>
        <w:keepLines w:val="0"/>
        <w:widowControl/>
        <w:numPr>
          <w:ilvl w:val="0"/>
          <w:numId w:val="0"/>
        </w:numPr>
        <w:suppressLineNumbers w:val="0"/>
        <w:spacing w:before="0" w:beforeAutospacing="0" w:after="0" w:afterAutospacing="0" w:line="405" w:lineRule="atLeast"/>
        <w:ind w:right="0" w:rightChars="0" w:firstLine="640" w:firstLineChars="200"/>
        <w:rPr>
          <w:rFonts w:hint="eastAsia" w:ascii="仿宋" w:hAnsi="仿宋" w:eastAsia="仿宋" w:cs="仿宋"/>
          <w:color w:val="000000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color w:val="000000"/>
          <w:sz w:val="32"/>
          <w:szCs w:val="32"/>
          <w:lang w:val="en-US" w:eastAsia="zh-CN"/>
        </w:rPr>
        <w:t>地址：鹤壁市淇滨区八一路与钜新路交叉口向南1500米路东（钜桥镇钜桥村辉煌农机合作社院内）</w:t>
      </w:r>
    </w:p>
    <w:p>
      <w:pPr>
        <w:pStyle w:val="5"/>
        <w:keepNext w:val="0"/>
        <w:keepLines w:val="0"/>
        <w:widowControl/>
        <w:numPr>
          <w:ilvl w:val="0"/>
          <w:numId w:val="0"/>
        </w:numPr>
        <w:suppressLineNumbers w:val="0"/>
        <w:spacing w:before="0" w:beforeAutospacing="0" w:after="0" w:afterAutospacing="0" w:line="405" w:lineRule="atLeast"/>
        <w:ind w:right="0" w:rightChars="0" w:firstLine="640" w:firstLineChars="200"/>
        <w:rPr>
          <w:rFonts w:hint="eastAsia" w:ascii="仿宋" w:hAnsi="仿宋" w:eastAsia="仿宋" w:cs="仿宋"/>
          <w:color w:val="000000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color w:val="000000"/>
          <w:sz w:val="32"/>
          <w:szCs w:val="32"/>
          <w:lang w:val="en-US" w:eastAsia="zh-CN"/>
        </w:rPr>
        <w:t>电话：13939270887    17539207139</w:t>
      </w:r>
    </w:p>
    <w:p>
      <w:pPr>
        <w:pStyle w:val="5"/>
        <w:keepNext w:val="0"/>
        <w:keepLines w:val="0"/>
        <w:widowControl/>
        <w:numPr>
          <w:ilvl w:val="0"/>
          <w:numId w:val="0"/>
        </w:numPr>
        <w:suppressLineNumbers w:val="0"/>
        <w:spacing w:before="0" w:beforeAutospacing="0" w:after="0" w:afterAutospacing="0" w:line="405" w:lineRule="atLeast"/>
        <w:ind w:leftChars="200" w:right="0" w:rightChars="0" w:firstLine="320" w:firstLineChars="100"/>
        <w:rPr>
          <w:rFonts w:hint="eastAsia" w:ascii="仿宋" w:hAnsi="仿宋" w:eastAsia="仿宋" w:cs="仿宋"/>
          <w:color w:val="000000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color w:val="000000"/>
          <w:sz w:val="32"/>
          <w:szCs w:val="32"/>
          <w:lang w:val="en-US" w:eastAsia="zh-CN"/>
        </w:rPr>
        <w:t>3.鹤壁市金属回收总公司淇滨区网点</w:t>
      </w:r>
    </w:p>
    <w:p>
      <w:pPr>
        <w:pStyle w:val="5"/>
        <w:keepNext w:val="0"/>
        <w:keepLines w:val="0"/>
        <w:widowControl/>
        <w:numPr>
          <w:ilvl w:val="0"/>
          <w:numId w:val="0"/>
        </w:numPr>
        <w:suppressLineNumbers w:val="0"/>
        <w:spacing w:before="0" w:beforeAutospacing="0" w:after="0" w:afterAutospacing="0" w:line="405" w:lineRule="atLeast"/>
        <w:ind w:leftChars="200" w:right="0" w:rightChars="0" w:firstLine="320" w:firstLineChars="100"/>
        <w:jc w:val="left"/>
        <w:rPr>
          <w:rFonts w:hint="eastAsia" w:ascii="仿宋" w:hAnsi="仿宋" w:eastAsia="仿宋" w:cs="仿宋"/>
          <w:color w:val="000000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color w:val="000000"/>
          <w:sz w:val="32"/>
          <w:szCs w:val="32"/>
          <w:lang w:val="en-US" w:eastAsia="zh-CN"/>
        </w:rPr>
        <w:t>地址：鹤壁市城乡一体化示范区107国道与新安江路交叉口东300米路南。</w:t>
      </w:r>
      <w:r>
        <w:rPr>
          <w:rFonts w:hint="eastAsia" w:ascii="仿宋" w:hAnsi="仿宋" w:eastAsia="仿宋" w:cs="仿宋"/>
          <w:color w:val="000000"/>
          <w:sz w:val="32"/>
          <w:szCs w:val="32"/>
        </w:rPr>
        <w:t>电话：</w:t>
      </w:r>
      <w:r>
        <w:rPr>
          <w:rFonts w:hint="eastAsia" w:ascii="仿宋" w:hAnsi="仿宋" w:eastAsia="仿宋" w:cs="仿宋"/>
          <w:color w:val="000000"/>
          <w:sz w:val="32"/>
          <w:szCs w:val="32"/>
          <w:lang w:val="en-US" w:eastAsia="zh-CN"/>
        </w:rPr>
        <w:t xml:space="preserve">13939297333  </w:t>
      </w:r>
    </w:p>
    <w:p>
      <w:pPr>
        <w:pStyle w:val="5"/>
        <w:keepNext w:val="0"/>
        <w:keepLines w:val="0"/>
        <w:widowControl/>
        <w:numPr>
          <w:ilvl w:val="0"/>
          <w:numId w:val="0"/>
        </w:numPr>
        <w:suppressLineNumbers w:val="0"/>
        <w:spacing w:before="0" w:beforeAutospacing="0" w:after="0" w:afterAutospacing="0" w:line="405" w:lineRule="atLeast"/>
        <w:ind w:right="0" w:rightChars="0" w:firstLine="640"/>
        <w:jc w:val="center"/>
        <w:rPr>
          <w:rFonts w:hint="eastAsia" w:ascii="仿宋" w:hAnsi="仿宋" w:eastAsia="仿宋" w:cs="仿宋"/>
          <w:color w:val="000000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color w:val="000000"/>
          <w:sz w:val="32"/>
          <w:szCs w:val="32"/>
          <w:lang w:val="en-US" w:eastAsia="zh-CN"/>
        </w:rPr>
        <w:t xml:space="preserve">                 淇滨区农业农村局              </w:t>
      </w:r>
    </w:p>
    <w:p>
      <w:pPr>
        <w:pStyle w:val="5"/>
        <w:keepNext w:val="0"/>
        <w:keepLines w:val="0"/>
        <w:widowControl/>
        <w:numPr>
          <w:ilvl w:val="0"/>
          <w:numId w:val="0"/>
        </w:numPr>
        <w:suppressLineNumbers w:val="0"/>
        <w:spacing w:before="0" w:beforeAutospacing="0" w:after="0" w:afterAutospacing="0" w:line="405" w:lineRule="atLeast"/>
        <w:ind w:right="0" w:rightChars="0" w:firstLine="640"/>
        <w:jc w:val="center"/>
        <w:rPr>
          <w:rFonts w:hint="eastAsia" w:ascii="仿宋" w:hAnsi="仿宋" w:eastAsia="仿宋" w:cs="仿宋"/>
          <w:color w:val="000000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color w:val="000000"/>
          <w:sz w:val="32"/>
          <w:szCs w:val="32"/>
          <w:lang w:val="en-US" w:eastAsia="zh-CN"/>
        </w:rPr>
        <w:t xml:space="preserve">                 2021年4月6日</w:t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Helvetica">
    <w:altName w:val="Arial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方正小标宋简体">
    <w:altName w:val="黑体"/>
    <w:panose1 w:val="02010601030101010101"/>
    <w:charset w:val="86"/>
    <w:family w:val="auto"/>
    <w:pitch w:val="default"/>
    <w:sig w:usb0="00000000" w:usb1="00000000" w:usb2="00000000" w:usb3="00000000" w:csb0="00040000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69204332"/>
    <w:rsid w:val="2AD16958"/>
    <w:rsid w:val="2C5C15C7"/>
    <w:rsid w:val="58160199"/>
    <w:rsid w:val="59C0265A"/>
    <w:rsid w:val="69204332"/>
    <w:rsid w:val="6B081731"/>
    <w:rsid w:val="6F0B4660"/>
    <w:rsid w:val="7F1420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qFormat="1"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qFormat="1" w:unhideWhenUsed="0" w:uiPriority="0" w:semiHidden="0" w:name="HTML Acronym"/>
    <w:lsdException w:unhideWhenUsed="0" w:uiPriority="0" w:semiHidden="0" w:name="HTML Address"/>
    <w:lsdException w:qFormat="1" w:unhideWhenUsed="0" w:uiPriority="0" w:semiHidden="0" w:name="HTML Cite"/>
    <w:lsdException w:qFormat="1" w:unhideWhenUsed="0" w:uiPriority="0" w:semiHidden="0" w:name="HTML Code"/>
    <w:lsdException w:qFormat="1"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qFormat="1"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</w:pBdr>
      <w:spacing w:before="0" w:beforeAutospacing="1" w:after="0" w:afterAutospacing="1"/>
      <w:ind w:left="0" w:right="0"/>
      <w:jc w:val="left"/>
    </w:pPr>
    <w:rPr>
      <w:rFonts w:hint="eastAsia" w:ascii="宋体" w:hAnsi="宋体" w:eastAsia="宋体" w:cs="宋体"/>
      <w:b/>
      <w:kern w:val="44"/>
      <w:sz w:val="24"/>
      <w:szCs w:val="24"/>
      <w:lang w:val="en-US" w:eastAsia="zh-CN" w:bidi="ar"/>
    </w:rPr>
  </w:style>
  <w:style w:type="paragraph" w:styleId="3">
    <w:name w:val="heading 2"/>
    <w:basedOn w:val="1"/>
    <w:next w:val="1"/>
    <w:semiHidden/>
    <w:unhideWhenUsed/>
    <w:qFormat/>
    <w:uiPriority w:val="0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kern w:val="0"/>
      <w:sz w:val="24"/>
      <w:szCs w:val="24"/>
      <w:lang w:val="en-US" w:eastAsia="zh-CN" w:bidi="ar"/>
    </w:rPr>
  </w:style>
  <w:style w:type="paragraph" w:styleId="4">
    <w:name w:val="heading 4"/>
    <w:basedOn w:val="1"/>
    <w:next w:val="1"/>
    <w:semiHidden/>
    <w:unhideWhenUsed/>
    <w:qFormat/>
    <w:uiPriority w:val="0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kern w:val="0"/>
      <w:sz w:val="24"/>
      <w:szCs w:val="24"/>
      <w:lang w:val="en-US" w:eastAsia="zh-CN" w:bidi="ar"/>
    </w:rPr>
  </w:style>
  <w:style w:type="character" w:default="1" w:styleId="7">
    <w:name w:val="Default Paragraph Font"/>
    <w:semiHidden/>
    <w:qFormat/>
    <w:uiPriority w:val="0"/>
  </w:style>
  <w:style w:type="table" w:default="1" w:styleId="6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5">
    <w:name w:val="Normal (Web)"/>
    <w:basedOn w:val="1"/>
    <w:qFormat/>
    <w:uiPriority w:val="0"/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</w:pBd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character" w:styleId="8">
    <w:name w:val="Strong"/>
    <w:basedOn w:val="7"/>
    <w:qFormat/>
    <w:uiPriority w:val="0"/>
    <w:rPr>
      <w:b/>
    </w:rPr>
  </w:style>
  <w:style w:type="character" w:styleId="9">
    <w:name w:val="FollowedHyperlink"/>
    <w:basedOn w:val="7"/>
    <w:qFormat/>
    <w:uiPriority w:val="0"/>
    <w:rPr>
      <w:color w:val="434343"/>
      <w:u w:val="none"/>
    </w:rPr>
  </w:style>
  <w:style w:type="character" w:styleId="10">
    <w:name w:val="Emphasis"/>
    <w:basedOn w:val="7"/>
    <w:qFormat/>
    <w:uiPriority w:val="0"/>
  </w:style>
  <w:style w:type="character" w:styleId="11">
    <w:name w:val="HTML Definition"/>
    <w:basedOn w:val="7"/>
    <w:qFormat/>
    <w:uiPriority w:val="0"/>
  </w:style>
  <w:style w:type="character" w:styleId="12">
    <w:name w:val="HTML Acronym"/>
    <w:basedOn w:val="7"/>
    <w:qFormat/>
    <w:uiPriority w:val="0"/>
  </w:style>
  <w:style w:type="character" w:styleId="13">
    <w:name w:val="HTML Variable"/>
    <w:basedOn w:val="7"/>
    <w:qFormat/>
    <w:uiPriority w:val="0"/>
  </w:style>
  <w:style w:type="character" w:styleId="14">
    <w:name w:val="Hyperlink"/>
    <w:basedOn w:val="7"/>
    <w:qFormat/>
    <w:uiPriority w:val="0"/>
    <w:rPr>
      <w:color w:val="434343"/>
      <w:u w:val="none"/>
    </w:rPr>
  </w:style>
  <w:style w:type="character" w:styleId="15">
    <w:name w:val="HTML Code"/>
    <w:basedOn w:val="7"/>
    <w:qFormat/>
    <w:uiPriority w:val="0"/>
    <w:rPr>
      <w:rFonts w:ascii="Courier New" w:hAnsi="Courier New"/>
      <w:sz w:val="20"/>
    </w:rPr>
  </w:style>
  <w:style w:type="character" w:styleId="16">
    <w:name w:val="HTML Cite"/>
    <w:basedOn w:val="7"/>
    <w:qFormat/>
    <w:uiPriority w:val="0"/>
  </w:style>
  <w:style w:type="character" w:customStyle="1" w:styleId="17">
    <w:name w:val="span_navtitle02"/>
    <w:basedOn w:val="7"/>
    <w:qFormat/>
    <w:uiPriority w:val="0"/>
  </w:style>
  <w:style w:type="character" w:customStyle="1" w:styleId="18">
    <w:name w:val="prev"/>
    <w:basedOn w:val="7"/>
    <w:qFormat/>
    <w:uiPriority w:val="0"/>
  </w:style>
  <w:style w:type="character" w:customStyle="1" w:styleId="19">
    <w:name w:val="next"/>
    <w:basedOn w:val="7"/>
    <w:qFormat/>
    <w:uiPriority w:val="0"/>
  </w:style>
  <w:style w:type="character" w:customStyle="1" w:styleId="20">
    <w:name w:val="hj-easyread-speakerprocesser-position-action-icon"/>
    <w:basedOn w:val="7"/>
    <w:qFormat/>
    <w:uiPriority w:val="0"/>
  </w:style>
  <w:style w:type="character" w:customStyle="1" w:styleId="21">
    <w:name w:val="span_labletitle"/>
    <w:basedOn w:val="7"/>
    <w:qFormat/>
    <w:uiPriority w:val="0"/>
    <w:rPr>
      <w:b/>
      <w:color w:val="434343"/>
      <w:shd w:val="clear" w:fill="FFFFFF"/>
    </w:rPr>
  </w:style>
  <w:style w:type="character" w:customStyle="1" w:styleId="22">
    <w:name w:val="where1"/>
    <w:basedOn w:val="7"/>
    <w:qFormat/>
    <w:uiPriority w:val="0"/>
  </w:style>
  <w:style w:type="character" w:customStyle="1" w:styleId="23">
    <w:name w:val="pubtime1"/>
    <w:basedOn w:val="7"/>
    <w:qFormat/>
    <w:uiPriority w:val="0"/>
  </w:style>
  <w:style w:type="character" w:customStyle="1" w:styleId="24">
    <w:name w:val="font01"/>
    <w:basedOn w:val="7"/>
    <w:qFormat/>
    <w:uiPriority w:val="0"/>
    <w:rPr>
      <w:rFonts w:hint="eastAsia" w:ascii="宋体" w:hAnsi="宋体" w:eastAsia="宋体" w:cs="宋体"/>
      <w:color w:val="000000"/>
      <w:sz w:val="22"/>
      <w:szCs w:val="22"/>
      <w:u w:val="none"/>
    </w:rPr>
  </w:style>
  <w:style w:type="character" w:customStyle="1" w:styleId="25">
    <w:name w:val="font11"/>
    <w:basedOn w:val="7"/>
    <w:qFormat/>
    <w:uiPriority w:val="0"/>
    <w:rPr>
      <w:rFonts w:ascii="Helvetica" w:hAnsi="Helvetica" w:eastAsia="Helvetica" w:cs="Helvetica"/>
      <w:color w:val="000000"/>
      <w:sz w:val="22"/>
      <w:szCs w:val="22"/>
      <w:u w:val="none"/>
    </w:rPr>
  </w:style>
</w:style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7" Type="http://schemas.openxmlformats.org/officeDocument/2006/relationships/customXml" Target="../customXml/item1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0</TotalTime>
  <ScaleCrop>false</ScaleCrop>
  <LinksUpToDate>false</LinksUpToDate>
  <CharactersWithSpaces>0</CharactersWithSpaces>
  <Application>WPS Office_11.1.0.11115_F1E327BC-269C-435d-A152-05C5408002CA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2021-04-06T00:59:00Z</dcterms:created>
  <dc:creator>Administrator</dc:creator>
  <cp:lastModifiedBy>Administrator</cp:lastModifiedBy>
  <dcterms:modified xsi:type="dcterms:W3CDTF">2021-12-14T07:25:12Z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2052-11.1.0.11115</vt:lpwstr>
  </property>
  <property fmtid="{D5CDD505-2E9C-101B-9397-08002B2CF9AE}" pid="3" name="ICV">
    <vt:lpwstr>5F39CB51F5034A8D9E30477761AE688F</vt:lpwstr>
  </property>
</Properties>
</file>