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44"/>
          <w:szCs w:val="44"/>
          <w:lang w:val="en-US" w:eastAsia="zh-CN"/>
        </w:rPr>
      </w:pPr>
    </w:p>
    <w:p>
      <w:pPr>
        <w:jc w:val="center"/>
        <w:rPr>
          <w:rFonts w:hint="eastAsia"/>
          <w:sz w:val="44"/>
          <w:szCs w:val="44"/>
          <w:lang w:val="en-US" w:eastAsia="zh-CN"/>
        </w:rPr>
      </w:pPr>
    </w:p>
    <w:p>
      <w:pPr>
        <w:jc w:val="both"/>
        <w:rPr>
          <w:rFonts w:hint="eastAsia"/>
          <w:sz w:val="44"/>
          <w:szCs w:val="44"/>
          <w:lang w:val="en-US" w:eastAsia="zh-CN"/>
        </w:rPr>
      </w:pPr>
    </w:p>
    <w:p>
      <w:pPr>
        <w:jc w:val="center"/>
        <w:rPr>
          <w:rFonts w:hint="eastAsia"/>
          <w:sz w:val="44"/>
          <w:szCs w:val="44"/>
          <w:lang w:val="en-US" w:eastAsia="zh-CN"/>
        </w:rPr>
      </w:pPr>
    </w:p>
    <w:p>
      <w:pPr>
        <w:jc w:val="center"/>
        <w:rPr>
          <w:rFonts w:hint="default" w:ascii="Agency FB" w:hAnsi="Agency FB" w:cs="Agency FB"/>
          <w:sz w:val="72"/>
          <w:szCs w:val="72"/>
          <w:lang w:val="en-US" w:eastAsia="zh-CN"/>
        </w:rPr>
      </w:pPr>
      <w:r>
        <w:rPr>
          <w:rFonts w:hint="eastAsia" w:ascii="仿宋" w:hAnsi="仿宋" w:eastAsia="仿宋" w:cs="仿宋"/>
          <w:b/>
          <w:bCs/>
          <w:color w:val="FF0000"/>
          <w:w w:val="200"/>
          <w:sz w:val="84"/>
          <w:szCs w:val="84"/>
          <w:u w:val="none"/>
          <w:lang w:val="en-US" w:eastAsia="zh-CN"/>
        </w:rPr>
        <w:pict>
          <v:shape id="_x0000_i1026" o:spt="136" type="#_x0000_t136" style="height:52.2pt;width:432pt;" fillcolor="#FF0000" filled="t" stroked="t" coordsize="21600,21600" adj="10800">
            <v:path/>
            <v:fill on="t" color2="#FFFFFF" focussize="0,0"/>
            <v:stroke weight="1pt" color="#FF0000"/>
            <v:imagedata o:title=""/>
            <o:lock v:ext="edit" aspectratio="f"/>
            <v:textpath on="t" fitshape="t" fitpath="t" trim="t" xscale="f" string="中牟县农业机械管理局文件" style="font-family:宋体;font-size:36pt;font-weight:bold;v-text-align:center;"/>
            <v:shadow on="t" obscured="0" color="#B2B2B2" opacity="52428f" offset="0.000236220472440945pt,0pt" offset2="-2pt,-2pt" origin="0f,0f" matrix="65536f,0f,0f,65536f,0,0"/>
            <w10:wrap type="none"/>
            <w10:anchorlock/>
          </v:shape>
        </w:pict>
      </w:r>
    </w:p>
    <w:p>
      <w:pPr>
        <w:jc w:val="center"/>
        <w:rPr>
          <w:rFonts w:hint="eastAsia"/>
          <w:sz w:val="44"/>
          <w:szCs w:val="44"/>
          <w:lang w:val="en-US" w:eastAsia="zh-CN"/>
        </w:rPr>
      </w:pPr>
    </w:p>
    <w:p>
      <w:pPr>
        <w:jc w:val="both"/>
        <w:rPr>
          <w:rFonts w:hint="eastAsia"/>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2880" w:firstLineChars="900"/>
        <w:jc w:val="both"/>
        <w:textAlignment w:val="auto"/>
        <w:outlineLvl w:val="9"/>
        <w:rPr>
          <w:rFonts w:hint="eastAsia" w:ascii="楷体" w:hAnsi="楷体" w:eastAsia="楷体" w:cs="楷体"/>
          <w:sz w:val="32"/>
          <w:szCs w:val="32"/>
          <w:lang w:val="en-US" w:eastAsia="zh-CN"/>
        </w:rPr>
      </w:pPr>
      <w:r>
        <w:rPr>
          <w:rFonts w:hint="eastAsia" w:ascii="仿宋_GB2312" w:eastAsia="仿宋_GB2312"/>
          <w:sz w:val="32"/>
          <w:szCs w:val="32"/>
          <w:lang w:val="en-US" w:eastAsia="zh-CN"/>
        </w:rPr>
        <w:t>牟农机字</w:t>
      </w:r>
      <w:r>
        <w:rPr>
          <w:rFonts w:hint="eastAsia" w:ascii="仿宋_GB2312" w:eastAsia="仿宋_GB2312"/>
          <w:sz w:val="32"/>
          <w:szCs w:val="32"/>
        </w:rPr>
        <w:t>〔20</w:t>
      </w:r>
      <w:r>
        <w:rPr>
          <w:rFonts w:hint="eastAsia" w:ascii="仿宋_GB2312" w:eastAsia="仿宋_GB2312"/>
          <w:sz w:val="32"/>
          <w:szCs w:val="32"/>
          <w:lang w:val="en-US" w:eastAsia="zh-CN"/>
        </w:rPr>
        <w:t>20</w:t>
      </w:r>
      <w:r>
        <w:rPr>
          <w:rFonts w:hint="eastAsia" w:ascii="仿宋_GB2312" w:eastAsia="仿宋_GB2312"/>
          <w:sz w:val="32"/>
          <w:szCs w:val="32"/>
        </w:rPr>
        <w:t>〕</w:t>
      </w:r>
      <w:r>
        <w:rPr>
          <w:rFonts w:hint="eastAsia" w:ascii="仿宋_GB2312" w:eastAsia="仿宋_GB2312"/>
          <w:sz w:val="32"/>
          <w:szCs w:val="32"/>
          <w:lang w:val="en-US" w:eastAsia="zh-CN"/>
        </w:rPr>
        <w:t>8</w:t>
      </w:r>
      <w:r>
        <w:rPr>
          <w:rFonts w:hint="eastAsia" w:ascii="仿宋_GB2312" w:eastAsia="仿宋_GB2312"/>
          <w:sz w:val="32"/>
          <w:szCs w:val="32"/>
        </w:rPr>
        <w:t>号</w:t>
      </w:r>
      <w:r>
        <w:rPr>
          <w:rFonts w:hint="eastAsia" w:ascii="仿宋_GB2312" w:eastAsia="仿宋_GB2312"/>
          <w:sz w:val="32"/>
          <w:szCs w:val="32"/>
          <w:lang w:val="en-US" w:eastAsia="zh-CN"/>
        </w:rPr>
        <w:t xml:space="preserve">           </w:t>
      </w:r>
    </w:p>
    <w:p>
      <w:pPr>
        <w:jc w:val="center"/>
        <w:rPr>
          <w:rFonts w:hint="eastAsia"/>
          <w:sz w:val="44"/>
          <w:szCs w:val="44"/>
          <w:lang w:val="en-US" w:eastAsia="zh-CN"/>
        </w:rPr>
      </w:pPr>
      <w:r>
        <w:rPr>
          <w:sz w:val="44"/>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43815</wp:posOffset>
                </wp:positionV>
                <wp:extent cx="5381625" cy="0"/>
                <wp:effectExtent l="0" t="0" r="0" b="0"/>
                <wp:wrapNone/>
                <wp:docPr id="1" name="直接连接符 1"/>
                <wp:cNvGraphicFramePr/>
                <a:graphic xmlns:a="http://schemas.openxmlformats.org/drawingml/2006/main">
                  <a:graphicData uri="http://schemas.microsoft.com/office/word/2010/wordprocessingShape">
                    <wps:wsp>
                      <wps:cNvCnPr/>
                      <wps:spPr>
                        <a:xfrm>
                          <a:off x="1081405" y="6109335"/>
                          <a:ext cx="538162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85pt;margin-top:3.45pt;height:0pt;width:423.75pt;z-index:251658240;mso-width-relative:page;mso-height-relative:page;" filled="f" stroked="t" coordsize="21600,21600" o:gfxdata="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UDv9IAAAAGAQAADwAAAAAAAAABACAA&#10;AAAiAAAAZHJzL2Rvd25yZXYueG1sUEsBAhQAFAAAAAgAh07iQKD1JI3aAQAAcAMAAA4AAAAAAAAA&#10;AQAgAAAAIQEAAGRycy9lMm9Eb2MueG1sUEsFBgAAAAAGAAYAWQEAAG0FAAAAAA==&#10;">
                <v:fill on="f" focussize="0,0"/>
                <v:stroke weight="1.5pt" color="#FF0000 [3205]" miterlimit="8" joinstyle="miter"/>
                <v:imagedata o:title=""/>
                <o:lock v:ext="edit" aspectratio="f"/>
              </v:line>
            </w:pict>
          </mc:Fallback>
        </mc:AlternateContent>
      </w:r>
    </w:p>
    <w:p>
      <w:pPr>
        <w:spacing w:line="249" w:lineRule="auto"/>
        <w:ind w:left="880" w:right="1240"/>
        <w:jc w:val="center"/>
        <w:rPr>
          <w:rFonts w:hint="eastAsia"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lang w:val="en-US" w:eastAsia="zh-CN"/>
        </w:rPr>
        <w:t>中牟县</w:t>
      </w:r>
      <w:r>
        <w:rPr>
          <w:rFonts w:hint="eastAsia" w:ascii="方正小标宋简体" w:hAnsi="方正小标宋简体" w:eastAsia="方正小标宋简体" w:cs="方正小标宋简体"/>
          <w:sz w:val="44"/>
        </w:rPr>
        <w:t>农机购置补贴工作领导小组关于印发《</w:t>
      </w:r>
      <w:r>
        <w:rPr>
          <w:rFonts w:hint="eastAsia" w:ascii="方正小标宋简体" w:hAnsi="方正小标宋简体" w:eastAsia="方正小标宋简体" w:cs="方正小标宋简体"/>
          <w:sz w:val="44"/>
          <w:lang w:val="en-US" w:eastAsia="zh-CN"/>
        </w:rPr>
        <w:t>中牟县</w:t>
      </w:r>
      <w:r>
        <w:rPr>
          <w:rFonts w:hint="eastAsia" w:ascii="方正小标宋简体" w:hAnsi="方正小标宋简体" w:eastAsia="方正小标宋简体" w:cs="方正小标宋简体"/>
          <w:sz w:val="44"/>
        </w:rPr>
        <w:t>农机购置补贴机具核验工作规范》的通知</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344" w:lineRule="exact"/>
        <w:rPr>
          <w:rFonts w:ascii="Times New Roman" w:hAnsi="Times New Roman" w:eastAsia="Times New Roman"/>
          <w:sz w:val="24"/>
        </w:rPr>
      </w:pPr>
    </w:p>
    <w:p>
      <w:pPr>
        <w:spacing w:line="239"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镇（街道〉、</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直各有关单位：</w:t>
      </w:r>
    </w:p>
    <w:p>
      <w:pPr>
        <w:spacing w:line="190" w:lineRule="exact"/>
        <w:rPr>
          <w:rFonts w:hint="eastAsia" w:ascii="仿宋_GB2312" w:hAnsi="仿宋_GB2312" w:eastAsia="仿宋_GB2312" w:cs="仿宋_GB2312"/>
          <w:sz w:val="32"/>
          <w:szCs w:val="32"/>
        </w:rPr>
      </w:pPr>
    </w:p>
    <w:p>
      <w:pPr>
        <w:spacing w:line="365" w:lineRule="auto"/>
        <w:ind w:right="320" w:firstLine="634"/>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为做好我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农机购置补贴机具核[验工作，规范核验行为，防范管理风险，提高办补效率，进一步便民利民，根据农业农村部《农机购置补贴机具核验工作要点（土行》、《</w:t>
      </w:r>
      <w:r>
        <w:rPr>
          <w:rFonts w:hint="eastAsia" w:ascii="仿宋_GB2312" w:hAnsi="仿宋_GB2312" w:eastAsia="仿宋_GB2312" w:cs="仿宋_GB2312"/>
          <w:sz w:val="32"/>
          <w:szCs w:val="32"/>
          <w:lang w:val="en-US" w:eastAsia="zh-CN"/>
        </w:rPr>
        <w:t>中牟县</w:t>
      </w:r>
      <w:r>
        <w:rPr>
          <w:rFonts w:hint="eastAsia" w:ascii="仿宋_GB2312" w:hAnsi="仿宋_GB2312" w:eastAsia="仿宋_GB2312" w:cs="仿宋_GB2312"/>
          <w:sz w:val="32"/>
          <w:szCs w:val="32"/>
        </w:rPr>
        <w:t>2018 -2020</w:t>
      </w:r>
    </w:p>
    <w:p>
      <w:pPr>
        <w:spacing w:line="34" w:lineRule="exact"/>
        <w:rPr>
          <w:rFonts w:hint="eastAsia" w:ascii="仿宋_GB2312" w:hAnsi="仿宋_GB2312" w:eastAsia="仿宋_GB2312" w:cs="仿宋_GB2312"/>
          <w:sz w:val="32"/>
          <w:szCs w:val="32"/>
        </w:rPr>
      </w:pPr>
    </w:p>
    <w:p>
      <w:pPr>
        <w:spacing w:line="239"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年农业机械购置补贴实施方案》精神，经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农机购置补贴领导小</w:t>
      </w:r>
    </w:p>
    <w:p>
      <w:pPr>
        <w:spacing w:line="237" w:lineRule="exact"/>
        <w:rPr>
          <w:rFonts w:hint="eastAsia" w:ascii="仿宋_GB2312" w:hAnsi="仿宋_GB2312" w:eastAsia="仿宋_GB2312" w:cs="仿宋_GB2312"/>
          <w:sz w:val="32"/>
          <w:szCs w:val="32"/>
        </w:rPr>
      </w:pPr>
    </w:p>
    <w:p>
      <w:pPr>
        <w:spacing w:line="239"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组讨论研究，对《</w:t>
      </w:r>
      <w:r>
        <w:rPr>
          <w:rFonts w:hint="eastAsia" w:ascii="仿宋_GB2312" w:hAnsi="仿宋_GB2312" w:eastAsia="仿宋_GB2312" w:cs="仿宋_GB2312"/>
          <w:sz w:val="32"/>
          <w:szCs w:val="32"/>
          <w:lang w:val="en-US" w:eastAsia="zh-CN"/>
        </w:rPr>
        <w:t>中牟县</w:t>
      </w:r>
      <w:r>
        <w:rPr>
          <w:rFonts w:hint="eastAsia" w:ascii="仿宋_GB2312" w:hAnsi="仿宋_GB2312" w:eastAsia="仿宋_GB2312" w:cs="仿宋_GB2312"/>
          <w:sz w:val="32"/>
          <w:szCs w:val="32"/>
        </w:rPr>
        <w:t>农机购置补贴机具核验工作规范（试行〕》，</w:t>
      </w:r>
    </w:p>
    <w:p>
      <w:pPr>
        <w:spacing w:line="225" w:lineRule="exact"/>
        <w:rPr>
          <w:rFonts w:hint="eastAsia" w:ascii="仿宋_GB2312" w:hAnsi="仿宋_GB2312" w:eastAsia="仿宋_GB2312" w:cs="仿宋_GB2312"/>
          <w:sz w:val="32"/>
          <w:szCs w:val="32"/>
        </w:rPr>
      </w:pPr>
    </w:p>
    <w:p>
      <w:pPr>
        <w:spacing w:line="0" w:lineRule="atLeas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进行了修订，现将修订后的《</w:t>
      </w:r>
      <w:r>
        <w:rPr>
          <w:rFonts w:hint="eastAsia" w:ascii="仿宋_GB2312" w:hAnsi="仿宋_GB2312" w:eastAsia="仿宋_GB2312" w:cs="仿宋_GB2312"/>
          <w:sz w:val="32"/>
          <w:szCs w:val="32"/>
          <w:lang w:val="en-US" w:eastAsia="zh-CN"/>
        </w:rPr>
        <w:t>中牟县</w:t>
      </w:r>
      <w:r>
        <w:rPr>
          <w:rFonts w:hint="eastAsia" w:ascii="仿宋_GB2312" w:hAnsi="仿宋_GB2312" w:eastAsia="仿宋_GB2312" w:cs="仿宋_GB2312"/>
          <w:sz w:val="32"/>
          <w:szCs w:val="32"/>
        </w:rPr>
        <w:t>农机购置补贴机具核验工作</w:t>
      </w:r>
    </w:p>
    <w:p>
      <w:pPr>
        <w:spacing w:line="230" w:lineRule="exact"/>
        <w:rPr>
          <w:rFonts w:hint="eastAsia" w:ascii="仿宋_GB2312" w:hAnsi="仿宋_GB2312" w:eastAsia="仿宋_GB2312" w:cs="仿宋_GB2312"/>
          <w:sz w:val="32"/>
          <w:szCs w:val="32"/>
        </w:rPr>
      </w:pPr>
    </w:p>
    <w:p>
      <w:pPr>
        <w:spacing w:line="0" w:lineRule="atLeast"/>
        <w:rPr>
          <w:rFonts w:hint="eastAsia" w:ascii="仿宋_GB2312" w:hAnsi="仿宋_GB2312" w:eastAsia="仿宋_GB2312" w:cs="仿宋_GB2312"/>
          <w:sz w:val="32"/>
          <w:szCs w:val="32"/>
        </w:rPr>
      </w:pPr>
      <w:r>
        <w:rPr>
          <w:rFonts w:hint="eastAsia" w:ascii="仿宋_GB2312" w:hAnsi="仿宋_GB2312" w:eastAsia="仿宋_GB2312" w:cs="仿宋_GB2312"/>
          <w:sz w:val="32"/>
          <w:szCs w:val="32"/>
          <w:vertAlign w:val="subscript"/>
        </w:rPr>
        <w:drawing>
          <wp:anchor distT="0" distB="0" distL="114300" distR="114300" simplePos="0" relativeHeight="251659264" behindDoc="1" locked="0" layoutInCell="0" allowOverlap="1">
            <wp:simplePos x="0" y="0"/>
            <wp:positionH relativeFrom="column">
              <wp:posOffset>9650730</wp:posOffset>
            </wp:positionH>
            <wp:positionV relativeFrom="paragraph">
              <wp:posOffset>3312160</wp:posOffset>
            </wp:positionV>
            <wp:extent cx="7562215" cy="10686415"/>
            <wp:effectExtent l="0" t="0" r="635"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562215" cy="10686415"/>
                    </a:xfrm>
                    <a:prstGeom prst="rect">
                      <a:avLst/>
                    </a:prstGeom>
                    <a:noFill/>
                    <a:ln w="9525">
                      <a:noFill/>
                    </a:ln>
                  </pic:spPr>
                </pic:pic>
              </a:graphicData>
            </a:graphic>
          </wp:anchor>
        </w:drawing>
      </w:r>
      <w:r>
        <w:rPr>
          <w:rFonts w:hint="eastAsia" w:ascii="仿宋_GB2312" w:hAnsi="仿宋_GB2312" w:eastAsia="仿宋_GB2312" w:cs="仿宋_GB2312"/>
          <w:sz w:val="32"/>
          <w:szCs w:val="32"/>
        </w:rPr>
        <w:t>规范》予以印发，请遵照执行。</w:t>
      </w:r>
    </w:p>
    <w:p>
      <w:pPr>
        <w:spacing w:line="0" w:lineRule="atLeast"/>
        <w:rPr>
          <w:rFonts w:hint="eastAsia" w:ascii="仿宋_GB2312" w:hAnsi="仿宋_GB2312" w:eastAsia="仿宋_GB2312" w:cs="仿宋_GB2312"/>
          <w:sz w:val="32"/>
          <w:szCs w:val="32"/>
        </w:rPr>
      </w:pPr>
    </w:p>
    <w:p>
      <w:pPr>
        <w:spacing w:line="0" w:lineRule="atLeast"/>
        <w:ind w:firstLine="5440" w:firstLineChars="1700"/>
        <w:rPr>
          <w:rFonts w:hint="eastAsia" w:ascii="仿宋_GB2312" w:hAnsi="仿宋_GB2312" w:eastAsia="仿宋_GB2312" w:cs="仿宋_GB2312"/>
          <w:sz w:val="32"/>
          <w:szCs w:val="32"/>
          <w:lang w:val="en-US" w:eastAsia="zh-CN"/>
        </w:rPr>
      </w:pPr>
    </w:p>
    <w:p>
      <w:pPr>
        <w:spacing w:line="0" w:lineRule="atLeast"/>
        <w:ind w:firstLine="5440" w:firstLineChars="1700"/>
        <w:rPr>
          <w:rFonts w:hint="eastAsia" w:ascii="仿宋_GB2312" w:hAnsi="仿宋_GB2312" w:eastAsia="仿宋_GB2312" w:cs="仿宋_GB2312"/>
          <w:sz w:val="32"/>
          <w:szCs w:val="32"/>
          <w:lang w:val="en-US" w:eastAsia="zh-CN"/>
        </w:rPr>
        <w:sectPr>
          <w:headerReference r:id="rId3" w:type="default"/>
          <w:footerReference r:id="rId4" w:type="default"/>
          <w:pgSz w:w="11900" w:h="16829"/>
          <w:pgMar w:top="514" w:right="1280" w:bottom="1440" w:left="1480" w:header="0" w:footer="0" w:gutter="0"/>
          <w:pgNumType w:fmt="decimal"/>
          <w:cols w:equalWidth="0" w:num="1">
            <w:col w:w="9140"/>
          </w:cols>
          <w:docGrid w:linePitch="360" w:charSpace="0"/>
        </w:sectPr>
      </w:pPr>
      <w:r>
        <w:rPr>
          <w:rFonts w:hint="eastAsia" w:ascii="仿宋_GB2312" w:hAnsi="仿宋_GB2312" w:eastAsia="仿宋_GB2312" w:cs="仿宋_GB2312"/>
          <w:sz w:val="32"/>
          <w:szCs w:val="32"/>
          <w:lang w:val="en-US" w:eastAsia="zh-CN"/>
        </w:rPr>
        <w:t>2020年7月10日</w:t>
      </w:r>
    </w:p>
    <w:p>
      <w:pPr>
        <w:spacing w:line="200" w:lineRule="exact"/>
        <w:rPr>
          <w:rFonts w:ascii="Times New Roman" w:hAnsi="Times New Roman" w:eastAsia="Times New Roman"/>
        </w:rPr>
      </w:pPr>
    </w:p>
    <w:p>
      <w:pPr>
        <w:keepNext w:val="0"/>
        <w:keepLines w:val="0"/>
        <w:widowControl/>
        <w:suppressLineNumbers w:val="0"/>
        <w:snapToGrid w:val="0"/>
        <w:spacing w:before="0" w:beforeAutospacing="0" w:after="0" w:afterAutospacing="0" w:line="360" w:lineRule="auto"/>
        <w:ind w:left="0" w:right="0"/>
        <w:jc w:val="center"/>
        <w:rPr>
          <w:rFonts w:hint="eastAsia" w:asciiTheme="majorEastAsia" w:hAnsiTheme="majorEastAsia" w:eastAsiaTheme="majorEastAsia" w:cstheme="majorEastAsia"/>
          <w:b/>
          <w:bCs w:val="0"/>
          <w:sz w:val="44"/>
          <w:szCs w:val="44"/>
          <w:lang w:val="en-US" w:eastAsia="zh-CN"/>
        </w:rPr>
      </w:pPr>
      <w:r>
        <w:rPr>
          <w:rFonts w:hint="eastAsia" w:asciiTheme="majorEastAsia" w:hAnsiTheme="majorEastAsia" w:eastAsiaTheme="majorEastAsia" w:cstheme="majorEastAsia"/>
          <w:b/>
          <w:bCs w:val="0"/>
          <w:sz w:val="44"/>
          <w:szCs w:val="44"/>
          <w:lang w:val="en-US" w:eastAsia="zh-CN"/>
        </w:rPr>
        <w:t>中牟县农机购置补贴机具核验工作规范</w:t>
      </w:r>
    </w:p>
    <w:p>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
          <w:bCs w:val="0"/>
          <w:sz w:val="36"/>
          <w:szCs w:val="36"/>
          <w:lang w:val="en-US"/>
        </w:rPr>
      </w:pPr>
      <w:r>
        <w:rPr>
          <w:rFonts w:hint="eastAsia" w:ascii="宋体" w:hAnsi="宋体" w:eastAsia="等线" w:cs="宋体"/>
          <w:b/>
          <w:bCs w:val="0"/>
          <w:kern w:val="2"/>
          <w:sz w:val="36"/>
          <w:szCs w:val="36"/>
          <w:lang w:val="en-US" w:eastAsia="zh-CN" w:bidi="ar"/>
        </w:rPr>
        <w:t xml:space="preserve">    </w:t>
      </w:r>
      <w:r>
        <w:rPr>
          <w:rFonts w:hint="eastAsia" w:ascii="仿宋" w:hAnsi="仿宋" w:eastAsia="仿宋" w:cs="仿宋_GB2312"/>
          <w:kern w:val="0"/>
          <w:sz w:val="32"/>
          <w:szCs w:val="32"/>
          <w:lang w:val="en-US" w:eastAsia="zh-CN" w:bidi="ar"/>
        </w:rPr>
        <w:t>加强农机购置补贴机具核验管理，是确保补贴资金安全和政策效益充分发挥的关键举措。为做好农机购置补贴机具核验工作，规范核验行为，防范管理风险，提高办补效率，进一步便民利民，根据农业农村部、财政部</w:t>
      </w:r>
      <w:r>
        <w:rPr>
          <w:rFonts w:hint="eastAsia" w:ascii="仿宋" w:hAnsi="仿宋" w:eastAsia="仿宋" w:cs="仿宋"/>
          <w:color w:val="333333"/>
          <w:kern w:val="2"/>
          <w:sz w:val="32"/>
          <w:szCs w:val="32"/>
          <w:shd w:val="clear" w:fill="FFFFFF"/>
          <w:lang w:val="en-US" w:eastAsia="zh-CN" w:bidi="ar"/>
        </w:rPr>
        <w:t>及河南省</w:t>
      </w:r>
      <w:r>
        <w:rPr>
          <w:rFonts w:hint="eastAsia" w:ascii="仿宋" w:hAnsi="仿宋" w:eastAsia="仿宋" w:cs="仿宋_GB2312"/>
          <w:kern w:val="0"/>
          <w:sz w:val="32"/>
          <w:szCs w:val="32"/>
          <w:lang w:val="en-US" w:eastAsia="zh-CN" w:bidi="ar"/>
        </w:rPr>
        <w:t>农机购置补贴政策实施相关规定，结合我县实际，制定中牟县农机购置补贴机具核验工作规范如下：</w:t>
      </w:r>
    </w:p>
    <w:p>
      <w:pPr>
        <w:keepNext w:val="0"/>
        <w:keepLines w:val="0"/>
        <w:widowControl/>
        <w:suppressLineNumbers w:val="0"/>
        <w:snapToGrid w:val="0"/>
        <w:spacing w:before="0" w:beforeAutospacing="0" w:after="0" w:afterAutospacing="0" w:line="360" w:lineRule="auto"/>
        <w:ind w:left="0" w:right="0" w:firstLine="640" w:firstLineChars="200"/>
        <w:jc w:val="both"/>
        <w:rPr>
          <w:rFonts w:hint="eastAsia" w:ascii="黑体" w:hAnsi="宋体" w:eastAsia="黑体" w:cs="黑体"/>
          <w:kern w:val="0"/>
          <w:sz w:val="32"/>
          <w:szCs w:val="32"/>
          <w:lang w:val="en-US"/>
        </w:rPr>
      </w:pPr>
      <w:r>
        <w:rPr>
          <w:rFonts w:hint="eastAsia" w:ascii="黑体" w:hAnsi="宋体" w:eastAsia="黑体" w:cs="黑体"/>
          <w:kern w:val="0"/>
          <w:sz w:val="32"/>
          <w:szCs w:val="32"/>
          <w:lang w:val="en-US" w:eastAsia="zh-CN" w:bidi="ar"/>
        </w:rPr>
        <w:t>一、核验内容</w:t>
      </w:r>
    </w:p>
    <w:p>
      <w:pPr>
        <w:keepNext w:val="0"/>
        <w:keepLines w:val="0"/>
        <w:widowControl/>
        <w:suppressLineNumbers w:val="0"/>
        <w:snapToGrid w:val="0"/>
        <w:spacing w:before="0" w:beforeAutospacing="0" w:after="0" w:afterAutospacing="0" w:line="360" w:lineRule="auto"/>
        <w:ind w:left="0" w:right="0" w:firstLine="640" w:firstLineChars="200"/>
        <w:jc w:val="both"/>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eastAsia="zh-CN" w:bidi="ar"/>
        </w:rPr>
        <w:t>补贴机具核验是指县级农机化主管部门对从事农业生产的个人和农业生产经营组织（以下简称“购机者”）申报农机购置补贴时提供的相关资料进行形式审核、对机具进行核查的工作。核验的主要内容包括：</w:t>
      </w:r>
    </w:p>
    <w:p>
      <w:pPr>
        <w:keepNext w:val="0"/>
        <w:keepLines w:val="0"/>
        <w:widowControl/>
        <w:suppressLineNumbers w:val="0"/>
        <w:snapToGrid w:val="0"/>
        <w:spacing w:before="0" w:beforeAutospacing="0" w:after="0" w:afterAutospacing="0" w:line="360" w:lineRule="auto"/>
        <w:ind w:left="0" w:right="0" w:firstLine="643" w:firstLineChars="200"/>
        <w:jc w:val="both"/>
        <w:rPr>
          <w:rFonts w:hint="eastAsia" w:ascii="仿宋" w:hAnsi="仿宋" w:eastAsia="仿宋" w:cs="仿宋"/>
          <w:kern w:val="0"/>
          <w:sz w:val="32"/>
          <w:szCs w:val="32"/>
          <w:lang w:val="en-US"/>
        </w:rPr>
      </w:pPr>
      <w:r>
        <w:rPr>
          <w:rFonts w:hint="eastAsia" w:ascii="仿宋" w:hAnsi="仿宋" w:eastAsia="仿宋" w:cs="楷体_GB2312"/>
          <w:b/>
          <w:kern w:val="0"/>
          <w:sz w:val="32"/>
          <w:szCs w:val="32"/>
          <w:lang w:val="en-US" w:eastAsia="zh-CN" w:bidi="ar"/>
        </w:rPr>
        <w:t>（一）购机者身份信息。</w:t>
      </w:r>
      <w:r>
        <w:rPr>
          <w:rFonts w:hint="eastAsia" w:ascii="仿宋" w:hAnsi="仿宋" w:eastAsia="仿宋" w:cs="仿宋_GB2312"/>
          <w:kern w:val="0"/>
          <w:sz w:val="32"/>
          <w:szCs w:val="32"/>
          <w:lang w:val="en-US" w:eastAsia="zh-CN" w:bidi="ar"/>
        </w:rPr>
        <w:t>个人身份证件或农业生产经营组织工商营业执照（统一社会信用代码）及其法定代表人身份证件等信息；</w:t>
      </w:r>
    </w:p>
    <w:p>
      <w:pPr>
        <w:keepNext w:val="0"/>
        <w:keepLines w:val="0"/>
        <w:widowControl/>
        <w:suppressLineNumbers w:val="0"/>
        <w:snapToGrid w:val="0"/>
        <w:spacing w:before="0" w:beforeAutospacing="0" w:after="0" w:afterAutospacing="0" w:line="360" w:lineRule="auto"/>
        <w:ind w:left="0" w:right="0" w:firstLine="643" w:firstLineChars="200"/>
        <w:jc w:val="both"/>
        <w:rPr>
          <w:rFonts w:hint="eastAsia" w:ascii="仿宋" w:hAnsi="仿宋" w:eastAsia="仿宋" w:cs="仿宋"/>
          <w:kern w:val="0"/>
          <w:sz w:val="32"/>
          <w:szCs w:val="32"/>
          <w:lang w:val="en-US"/>
        </w:rPr>
      </w:pPr>
      <w:r>
        <w:rPr>
          <w:rFonts w:hint="eastAsia" w:ascii="仿宋" w:hAnsi="仿宋" w:eastAsia="仿宋" w:cs="楷体_GB2312"/>
          <w:b/>
          <w:kern w:val="0"/>
          <w:sz w:val="32"/>
          <w:szCs w:val="32"/>
          <w:lang w:val="en-US" w:eastAsia="zh-CN" w:bidi="ar"/>
        </w:rPr>
        <w:t>（二）购买信息。</w:t>
      </w:r>
      <w:r>
        <w:rPr>
          <w:rFonts w:hint="eastAsia" w:ascii="仿宋" w:hAnsi="仿宋" w:eastAsia="仿宋" w:cs="仿宋_GB2312"/>
          <w:kern w:val="0"/>
          <w:sz w:val="32"/>
          <w:szCs w:val="32"/>
          <w:lang w:val="en-US" w:eastAsia="zh-CN" w:bidi="ar"/>
        </w:rPr>
        <w:t>购买补贴机具税控发票等信息；</w:t>
      </w:r>
    </w:p>
    <w:p>
      <w:pPr>
        <w:keepNext w:val="0"/>
        <w:keepLines w:val="0"/>
        <w:widowControl/>
        <w:suppressLineNumbers w:val="0"/>
        <w:snapToGrid w:val="0"/>
        <w:spacing w:before="0" w:beforeAutospacing="0" w:after="0" w:afterAutospacing="0" w:line="360" w:lineRule="auto"/>
        <w:ind w:left="0" w:right="0" w:firstLine="643" w:firstLineChars="200"/>
        <w:jc w:val="both"/>
        <w:rPr>
          <w:rFonts w:hint="eastAsia" w:ascii="仿宋" w:hAnsi="仿宋" w:eastAsia="仿宋" w:cs="仿宋"/>
          <w:kern w:val="0"/>
          <w:sz w:val="32"/>
          <w:szCs w:val="32"/>
          <w:lang w:val="en-US"/>
        </w:rPr>
      </w:pPr>
      <w:r>
        <w:rPr>
          <w:rFonts w:hint="eastAsia" w:ascii="仿宋" w:hAnsi="仿宋" w:eastAsia="仿宋" w:cs="楷体_GB2312"/>
          <w:b/>
          <w:kern w:val="0"/>
          <w:sz w:val="32"/>
          <w:szCs w:val="32"/>
          <w:lang w:val="en-US" w:eastAsia="zh-CN" w:bidi="ar"/>
        </w:rPr>
        <w:t>（三）机具信息。</w:t>
      </w:r>
      <w:r>
        <w:rPr>
          <w:rFonts w:hint="eastAsia" w:ascii="仿宋" w:hAnsi="仿宋" w:eastAsia="仿宋" w:cs="仿宋_GB2312"/>
          <w:kern w:val="0"/>
          <w:sz w:val="32"/>
          <w:szCs w:val="32"/>
          <w:lang w:val="en-US" w:eastAsia="zh-CN" w:bidi="ar"/>
        </w:rPr>
        <w:t>机具实物上的固定铭牌信息、农机购置补贴辅助管理系统所对应机具的信息、牌证管理机具的行驶证信息等；</w:t>
      </w:r>
    </w:p>
    <w:p>
      <w:pPr>
        <w:keepNext w:val="0"/>
        <w:keepLines w:val="0"/>
        <w:widowControl/>
        <w:suppressLineNumbers w:val="0"/>
        <w:snapToGrid w:val="0"/>
        <w:spacing w:before="0" w:beforeAutospacing="0" w:after="0" w:afterAutospacing="0" w:line="360" w:lineRule="auto"/>
        <w:ind w:left="0" w:right="0" w:firstLine="643" w:firstLineChars="200"/>
        <w:jc w:val="both"/>
        <w:rPr>
          <w:rFonts w:hint="eastAsia" w:ascii="仿宋" w:hAnsi="仿宋" w:eastAsia="仿宋" w:cs="仿宋"/>
          <w:kern w:val="0"/>
          <w:sz w:val="32"/>
          <w:szCs w:val="32"/>
          <w:lang w:val="en-US"/>
        </w:rPr>
      </w:pPr>
      <w:r>
        <w:rPr>
          <w:rFonts w:hint="eastAsia" w:ascii="仿宋" w:hAnsi="仿宋" w:eastAsia="仿宋" w:cs="楷体_GB2312"/>
          <w:b/>
          <w:kern w:val="0"/>
          <w:sz w:val="32"/>
          <w:szCs w:val="32"/>
          <w:lang w:val="en-US" w:eastAsia="zh-CN" w:bidi="ar"/>
        </w:rPr>
        <w:t>（四）其他信息。</w:t>
      </w:r>
      <w:r>
        <w:rPr>
          <w:rFonts w:hint="eastAsia" w:ascii="仿宋" w:hAnsi="仿宋" w:eastAsia="仿宋" w:cs="仿宋_GB2312"/>
          <w:kern w:val="0"/>
          <w:sz w:val="32"/>
          <w:szCs w:val="32"/>
          <w:lang w:val="en-US" w:eastAsia="zh-CN" w:bidi="ar"/>
        </w:rPr>
        <w:t>购机者银行卡（折）账号、开户名等信息，以及政策实施要求提供的其他必要信息。</w:t>
      </w:r>
    </w:p>
    <w:p>
      <w:pPr>
        <w:keepNext w:val="0"/>
        <w:keepLines w:val="0"/>
        <w:widowControl/>
        <w:suppressLineNumbers w:val="0"/>
        <w:snapToGrid w:val="0"/>
        <w:spacing w:before="0" w:beforeAutospacing="0" w:after="0" w:afterAutospacing="0" w:line="360" w:lineRule="auto"/>
        <w:ind w:left="0" w:right="0" w:firstLine="640" w:firstLineChars="200"/>
        <w:jc w:val="both"/>
        <w:rPr>
          <w:rFonts w:hint="eastAsia" w:ascii="仿宋" w:hAnsi="仿宋" w:eastAsia="仿宋" w:cs="仿宋_GB2312"/>
          <w:kern w:val="0"/>
          <w:sz w:val="32"/>
          <w:szCs w:val="32"/>
          <w:lang w:val="en-US"/>
        </w:rPr>
      </w:pPr>
      <w:r>
        <w:rPr>
          <w:rFonts w:hint="eastAsia" w:ascii="仿宋" w:hAnsi="仿宋" w:eastAsia="仿宋" w:cs="仿宋_GB2312"/>
          <w:kern w:val="0"/>
          <w:sz w:val="32"/>
          <w:szCs w:val="32"/>
          <w:lang w:val="en-US" w:eastAsia="zh-CN" w:bidi="ar"/>
        </w:rPr>
        <w:t xml:space="preserve">上述信息的真实性、完整性和有效性由购机者、产销企业和农机安全监理机构分别负责，并承担相应的法律责任。   </w:t>
      </w:r>
    </w:p>
    <w:p>
      <w:pPr>
        <w:keepNext w:val="0"/>
        <w:keepLines w:val="0"/>
        <w:widowControl/>
        <w:suppressLineNumbers w:val="0"/>
        <w:snapToGrid w:val="0"/>
        <w:spacing w:before="0" w:beforeAutospacing="0" w:after="0" w:afterAutospacing="0" w:line="360" w:lineRule="auto"/>
        <w:ind w:left="0" w:right="0" w:firstLine="640" w:firstLineChars="200"/>
        <w:jc w:val="both"/>
        <w:rPr>
          <w:rFonts w:hint="eastAsia" w:ascii="黑体" w:hAnsi="宋体" w:eastAsia="黑体" w:cs="黑体"/>
          <w:kern w:val="0"/>
          <w:sz w:val="32"/>
          <w:szCs w:val="32"/>
          <w:lang w:val="en-US"/>
        </w:rPr>
      </w:pPr>
      <w:r>
        <w:rPr>
          <w:rFonts w:hint="eastAsia" w:ascii="黑体" w:hAnsi="宋体" w:eastAsia="黑体" w:cs="黑体"/>
          <w:kern w:val="0"/>
          <w:sz w:val="32"/>
          <w:szCs w:val="32"/>
          <w:lang w:val="en-US" w:eastAsia="zh-CN" w:bidi="ar"/>
        </w:rPr>
        <w:t>二、核验程序及要求</w:t>
      </w:r>
    </w:p>
    <w:p>
      <w:pPr>
        <w:keepNext w:val="0"/>
        <w:keepLines w:val="0"/>
        <w:widowControl/>
        <w:suppressLineNumbers w:val="0"/>
        <w:snapToGrid w:val="0"/>
        <w:spacing w:before="0" w:beforeAutospacing="0" w:after="0" w:afterAutospacing="0" w:line="360" w:lineRule="auto"/>
        <w:ind w:left="0" w:right="0" w:firstLine="643" w:firstLineChars="200"/>
        <w:jc w:val="both"/>
        <w:rPr>
          <w:rFonts w:hint="eastAsia" w:ascii="仿宋" w:hAnsi="仿宋" w:eastAsia="仿宋" w:cs="仿宋"/>
          <w:kern w:val="0"/>
          <w:sz w:val="32"/>
          <w:szCs w:val="32"/>
          <w:lang w:val="en-US"/>
        </w:rPr>
      </w:pPr>
      <w:r>
        <w:rPr>
          <w:rFonts w:hint="eastAsia" w:ascii="仿宋" w:hAnsi="仿宋" w:eastAsia="仿宋" w:cs="楷体_GB2312"/>
          <w:b/>
          <w:kern w:val="0"/>
          <w:sz w:val="32"/>
          <w:szCs w:val="32"/>
          <w:lang w:val="en-US" w:eastAsia="zh-CN" w:bidi="ar"/>
        </w:rPr>
        <w:t>（一）受理申请。</w:t>
      </w:r>
      <w:r>
        <w:rPr>
          <w:rFonts w:hint="eastAsia" w:ascii="仿宋" w:hAnsi="仿宋" w:eastAsia="仿宋" w:cs="仿宋_GB2312"/>
          <w:kern w:val="0"/>
          <w:sz w:val="32"/>
          <w:szCs w:val="32"/>
          <w:lang w:val="en-US" w:eastAsia="zh-CN" w:bidi="ar"/>
        </w:rPr>
        <w:t>对购机者自主提出的补贴申请，主管部门应按规定及时受理。鼓励通过手机APP、“一站式”服务窗口等便捷高效的方式受理申请。</w:t>
      </w:r>
    </w:p>
    <w:p>
      <w:pPr>
        <w:pStyle w:val="6"/>
        <w:widowControl/>
        <w:snapToGrid w:val="0"/>
        <w:spacing w:line="360" w:lineRule="auto"/>
        <w:ind w:left="0" w:firstLine="0" w:firstLineChars="0"/>
        <w:rPr>
          <w:rFonts w:hint="eastAsia" w:ascii="仿宋" w:hAnsi="仿宋" w:eastAsia="仿宋" w:cs="仿宋"/>
          <w:b/>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（二）资料核验。</w:t>
      </w:r>
      <w:r>
        <w:rPr>
          <w:rFonts w:hint="eastAsia" w:ascii="仿宋" w:hAnsi="仿宋" w:eastAsia="仿宋" w:cs="仿宋_GB2312"/>
          <w:b/>
          <w:kern w:val="0"/>
          <w:sz w:val="32"/>
          <w:szCs w:val="32"/>
          <w:lang w:eastAsia="zh-CN"/>
        </w:rPr>
        <w:t>一是购机者及其身份、购机税控发票等资料。</w:t>
      </w:r>
      <w:r>
        <w:rPr>
          <w:rFonts w:hint="eastAsia" w:ascii="仿宋" w:hAnsi="仿宋" w:eastAsia="仿宋" w:cs="仿宋_GB2312"/>
          <w:kern w:val="0"/>
          <w:sz w:val="32"/>
          <w:szCs w:val="32"/>
          <w:lang w:eastAsia="zh-CN"/>
        </w:rPr>
        <w:t>购机者为个人的，重点核验购机者本人与其身份证件的肖像照片是否相符，购机税控发票所显示的购机者姓名与购机者身份证件所显示的姓名是否一致；购机者为农业生产经营组织的，重点核验该组织法定代表人本人与其身份证件的肖像照片是否相符，法定代表人身份证件所显示的姓名与工商营业执照所显示的法定代表人姓名是否一致，购机税控发票所显示的购机者名称与工商营业执照所显示的农业生产经营组织名称是否一致。</w:t>
      </w:r>
      <w:r>
        <w:rPr>
          <w:rFonts w:hint="eastAsia" w:ascii="仿宋" w:hAnsi="仿宋" w:eastAsia="仿宋" w:cs="仿宋_GB2312"/>
          <w:b/>
          <w:kern w:val="0"/>
          <w:sz w:val="32"/>
          <w:szCs w:val="32"/>
          <w:lang w:eastAsia="zh-CN"/>
        </w:rPr>
        <w:t>二是银行卡（折）等资料。</w:t>
      </w:r>
      <w:r>
        <w:rPr>
          <w:rFonts w:hint="eastAsia" w:ascii="仿宋" w:hAnsi="仿宋" w:eastAsia="仿宋" w:cs="仿宋_GB2312"/>
          <w:kern w:val="0"/>
          <w:sz w:val="32"/>
          <w:szCs w:val="32"/>
          <w:lang w:eastAsia="zh-CN"/>
        </w:rPr>
        <w:t>重点核验购机者填写的银行卡（折）账号、开户名等信息与其携带的银行卡（折）所显示的账号、身份证件所显示的购机者姓名、工商营业执照所显示的农业生产经营组织名称是否一致。</w:t>
      </w:r>
      <w:r>
        <w:rPr>
          <w:rFonts w:hint="eastAsia" w:ascii="仿宋" w:hAnsi="仿宋" w:eastAsia="仿宋" w:cs="仿宋_GB2312"/>
          <w:b/>
          <w:kern w:val="0"/>
          <w:sz w:val="32"/>
          <w:szCs w:val="32"/>
          <w:lang w:eastAsia="zh-CN"/>
        </w:rPr>
        <w:t>三是购机价格真实性承诺。</w:t>
      </w:r>
      <w:r>
        <w:rPr>
          <w:rFonts w:hint="eastAsia" w:ascii="仿宋" w:hAnsi="仿宋" w:eastAsia="仿宋" w:cs="仿宋_GB2312"/>
          <w:kern w:val="0"/>
          <w:sz w:val="32"/>
          <w:szCs w:val="32"/>
          <w:lang w:eastAsia="zh-CN"/>
        </w:rPr>
        <w:t>提示购机者确认购机税控发票上的购机金额与其实际全部支付给经销企业的资金是否一致，以及隐瞒不报、提供虚假信息需承担的违规责任，提示购机者对购机价格的真实性签字确认。</w:t>
      </w:r>
      <w:r>
        <w:rPr>
          <w:rFonts w:hint="eastAsia" w:ascii="仿宋" w:hAnsi="仿宋" w:eastAsia="仿宋" w:cs="仿宋_GB2312"/>
          <w:b/>
          <w:kern w:val="0"/>
          <w:sz w:val="32"/>
          <w:szCs w:val="32"/>
          <w:lang w:eastAsia="zh-CN"/>
        </w:rPr>
        <w:t>四是政策实施要求提供的其他资料。</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b/>
          <w:kern w:val="0"/>
          <w:sz w:val="32"/>
          <w:szCs w:val="32"/>
          <w:lang w:val="en-US"/>
        </w:rPr>
        <w:t xml:space="preserve">    </w:t>
      </w:r>
      <w:r>
        <w:rPr>
          <w:rFonts w:hint="eastAsia" w:ascii="仿宋" w:hAnsi="仿宋" w:eastAsia="仿宋" w:cs="仿宋_GB2312"/>
          <w:kern w:val="0"/>
          <w:sz w:val="32"/>
          <w:szCs w:val="32"/>
          <w:lang w:eastAsia="zh-CN"/>
        </w:rPr>
        <w:t>未通过核验的，应将所发现的问题一次性告知购机者，并说明完善方法。</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（三）机具核验。</w:t>
      </w:r>
      <w:r>
        <w:rPr>
          <w:rFonts w:hint="eastAsia" w:ascii="仿宋" w:hAnsi="仿宋" w:eastAsia="仿宋" w:cs="仿宋_GB2312"/>
          <w:b/>
          <w:kern w:val="0"/>
          <w:sz w:val="32"/>
          <w:szCs w:val="32"/>
          <w:lang w:eastAsia="zh-CN"/>
        </w:rPr>
        <w:t>一是重点机具核验。</w:t>
      </w:r>
      <w:r>
        <w:rPr>
          <w:rFonts w:hint="eastAsia" w:ascii="仿宋" w:hAnsi="仿宋" w:eastAsia="仿宋" w:cs="仿宋_GB2312"/>
          <w:kern w:val="0"/>
          <w:sz w:val="32"/>
          <w:szCs w:val="32"/>
          <w:lang w:eastAsia="zh-CN"/>
        </w:rPr>
        <w:t>重点核验购机税控发票所显示的机具名称、生产企业、型号、发动机号（不带动力的可不核验）、出厂编号与所购实物机具铭牌显示信息是否一致，所购实物机具铭牌显示信息与农机购置补贴辅助管理系统内对应的机具信息是否一致，购机税控发票所显示的经销企业与农机购置补贴辅助管理系统内对应的经销信息是否一致。对牌证管理机具，免于现场实物核验，但需核验购机者携带的《拖拉机和联合收割机行驶证》信息与农机安全监理系统推送给辅助管理系统的牌证信息、机具信息是否一致，购机税控发票所显示的经销企业与农机购置补贴辅助管理系统内对应的经销信息是否一致。</w:t>
      </w:r>
      <w:r>
        <w:rPr>
          <w:rFonts w:hint="eastAsia" w:ascii="仿宋" w:hAnsi="仿宋" w:eastAsia="仿宋" w:cs="仿宋_GB2312"/>
          <w:b/>
          <w:kern w:val="0"/>
          <w:sz w:val="32"/>
          <w:szCs w:val="32"/>
          <w:lang w:eastAsia="zh-CN"/>
        </w:rPr>
        <w:t>二是非重点机具核验</w:t>
      </w:r>
      <w:r>
        <w:rPr>
          <w:rFonts w:hint="eastAsia" w:ascii="仿宋" w:hAnsi="仿宋" w:eastAsia="仿宋" w:cs="仿宋_GB2312"/>
          <w:kern w:val="0"/>
          <w:sz w:val="32"/>
          <w:szCs w:val="32"/>
          <w:lang w:eastAsia="zh-CN"/>
        </w:rPr>
        <w:t>。对补贴额较低、风险可控度高的机具可采取补贴资金兑付后按比例抽查核验方式进行，抽核内容同重点机具。重点机具和非重点机具的标准以及抽核比例或数量由各县自行规定。</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仿宋_GB2312"/>
          <w:kern w:val="0"/>
          <w:sz w:val="32"/>
          <w:szCs w:val="32"/>
          <w:lang w:eastAsia="zh-CN"/>
        </w:rPr>
        <w:t>鼓励通过进村入户、提前预约等方式开展核验，便利购机者以及设施安装类机具核验。核验结果由核验人员与购机者双方签字确认。实行双人交叉核验或个人核验、</w:t>
      </w:r>
      <w:r>
        <w:rPr>
          <w:rFonts w:hint="eastAsia" w:ascii="仿宋" w:hAnsi="仿宋" w:eastAsia="仿宋" w:cs="仿宋_GB2312"/>
          <w:sz w:val="32"/>
          <w:szCs w:val="32"/>
          <w:lang w:eastAsia="zh-CN"/>
        </w:rPr>
        <w:t>单位内部集体会审双重审核，探索对补贴机具核验结果实行基层农机化、种植业、畜牧业、渔业、农产品初加工等有关方面共同参加的集体会商。</w:t>
      </w:r>
      <w:r>
        <w:rPr>
          <w:rFonts w:hint="eastAsia" w:ascii="仿宋" w:hAnsi="仿宋" w:eastAsia="仿宋" w:cs="仿宋_GB2312"/>
          <w:kern w:val="0"/>
          <w:sz w:val="32"/>
          <w:szCs w:val="32"/>
          <w:lang w:eastAsia="zh-CN"/>
        </w:rPr>
        <w:t>加强对单人多台套、短期内大批量、同人连年购置同类机具、区域适应性差的机具购置等异常情形的核验。</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仿宋_GB2312"/>
          <w:kern w:val="0"/>
          <w:sz w:val="32"/>
          <w:szCs w:val="32"/>
          <w:lang w:eastAsia="zh-CN"/>
        </w:rPr>
        <w:t>未通过核验的，应将所发现的问题一次性告知购机者，并说明完善方法。</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（四）复核登记。</w:t>
      </w:r>
      <w:r>
        <w:rPr>
          <w:rFonts w:hint="eastAsia" w:ascii="仿宋" w:hAnsi="仿宋" w:eastAsia="仿宋" w:cs="仿宋_GB2312"/>
          <w:kern w:val="0"/>
          <w:sz w:val="32"/>
          <w:szCs w:val="32"/>
          <w:lang w:eastAsia="zh-CN"/>
        </w:rPr>
        <w:t>对资料核验、机具核验的程序、方式和签章的规范性进行集体复核，可与集体会商同步进行，通过后登记立册。</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（五）公示报送。</w:t>
      </w:r>
      <w:r>
        <w:rPr>
          <w:rFonts w:hint="eastAsia" w:ascii="仿宋" w:hAnsi="仿宋" w:eastAsia="仿宋" w:cs="仿宋_GB2312"/>
          <w:kern w:val="0"/>
          <w:sz w:val="32"/>
          <w:szCs w:val="32"/>
          <w:lang w:eastAsia="zh-CN"/>
        </w:rPr>
        <w:t>对通过复核的补贴申请信息进行为期不少于</w:t>
      </w:r>
      <w:r>
        <w:rPr>
          <w:rFonts w:hint="eastAsia" w:ascii="仿宋" w:hAnsi="仿宋" w:eastAsia="仿宋" w:cs="仿宋_GB2312"/>
          <w:kern w:val="0"/>
          <w:sz w:val="32"/>
          <w:szCs w:val="32"/>
          <w:lang w:val="en-US"/>
        </w:rPr>
        <w:t>30</w:t>
      </w:r>
      <w:r>
        <w:rPr>
          <w:rFonts w:hint="eastAsia" w:ascii="仿宋" w:hAnsi="仿宋" w:eastAsia="仿宋" w:cs="仿宋_GB2312"/>
          <w:kern w:val="0"/>
          <w:sz w:val="32"/>
          <w:szCs w:val="32"/>
          <w:lang w:eastAsia="zh-CN"/>
        </w:rPr>
        <w:t>天的公示，公示无异议后报送同级财政部门。</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（六）资料处理。</w:t>
      </w:r>
      <w:r>
        <w:rPr>
          <w:rFonts w:hint="eastAsia" w:ascii="仿宋" w:hAnsi="仿宋" w:eastAsia="仿宋" w:cs="仿宋_GB2312"/>
          <w:kern w:val="0"/>
          <w:sz w:val="32"/>
          <w:szCs w:val="32"/>
          <w:lang w:eastAsia="zh-CN"/>
        </w:rPr>
        <w:t>对财政部门未提出疑义的补贴申请，将其核验资料留存备用备查，留存期限不少于</w:t>
      </w:r>
      <w:r>
        <w:rPr>
          <w:rFonts w:hint="eastAsia" w:ascii="仿宋" w:hAnsi="仿宋" w:eastAsia="仿宋" w:cs="仿宋_GB2312"/>
          <w:kern w:val="0"/>
          <w:sz w:val="32"/>
          <w:szCs w:val="32"/>
          <w:lang w:val="en-US"/>
        </w:rPr>
        <w:t>5</w:t>
      </w:r>
      <w:r>
        <w:rPr>
          <w:rFonts w:hint="eastAsia" w:ascii="仿宋" w:hAnsi="仿宋" w:eastAsia="仿宋" w:cs="仿宋_GB2312"/>
          <w:kern w:val="0"/>
          <w:sz w:val="32"/>
          <w:szCs w:val="32"/>
          <w:lang w:eastAsia="zh-CN"/>
        </w:rPr>
        <w:t>年。</w:t>
      </w:r>
    </w:p>
    <w:p>
      <w:pPr>
        <w:keepNext w:val="0"/>
        <w:keepLines w:val="0"/>
        <w:widowControl/>
        <w:suppressLineNumbers w:val="0"/>
        <w:snapToGrid w:val="0"/>
        <w:spacing w:before="0" w:beforeAutospacing="0" w:after="0" w:afterAutospacing="0" w:line="360" w:lineRule="auto"/>
        <w:ind w:left="0" w:right="0" w:firstLine="640" w:firstLineChars="200"/>
        <w:jc w:val="both"/>
        <w:rPr>
          <w:rFonts w:hint="eastAsia" w:ascii="黑体" w:hAnsi="宋体" w:eastAsia="黑体" w:cs="黑体"/>
          <w:kern w:val="0"/>
          <w:sz w:val="32"/>
          <w:szCs w:val="32"/>
          <w:lang w:val="en-US"/>
        </w:rPr>
      </w:pPr>
      <w:r>
        <w:rPr>
          <w:rFonts w:hint="eastAsia" w:ascii="黑体" w:hAnsi="宋体" w:eastAsia="黑体" w:cs="黑体"/>
          <w:kern w:val="0"/>
          <w:sz w:val="32"/>
          <w:szCs w:val="32"/>
          <w:lang w:val="en-US" w:eastAsia="zh-CN" w:bidi="ar"/>
        </w:rPr>
        <w:t>三、监督管理</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宋体"/>
          <w:kern w:val="0"/>
          <w:sz w:val="32"/>
          <w:szCs w:val="32"/>
          <w:lang w:val="en-US"/>
        </w:rPr>
        <w:t xml:space="preserve">   </w:t>
      </w: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（一）加强核验人员队伍建设。</w:t>
      </w:r>
      <w:r>
        <w:rPr>
          <w:rFonts w:hint="eastAsia" w:ascii="仿宋" w:hAnsi="仿宋" w:eastAsia="仿宋" w:cs="仿宋_GB2312"/>
          <w:kern w:val="0"/>
          <w:sz w:val="32"/>
          <w:szCs w:val="32"/>
          <w:lang w:eastAsia="zh-CN"/>
        </w:rPr>
        <w:t>选配责任心强、业务素质高、作风优良的干部从事核验工作，对其每年至少开展一次廉洁从政、业务技能等方面的教育培训。建立健全分管领导监督机制，条件允许的实行补贴申请受理、补贴机具核验岗位分离，明确岗位职责。</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（二）推行购机承诺践诺。</w:t>
      </w:r>
      <w:r>
        <w:rPr>
          <w:rFonts w:hint="eastAsia" w:ascii="仿宋" w:hAnsi="仿宋" w:eastAsia="仿宋" w:cs="仿宋_GB2312"/>
          <w:kern w:val="0"/>
          <w:sz w:val="32"/>
          <w:szCs w:val="32"/>
          <w:lang w:eastAsia="zh-CN"/>
        </w:rPr>
        <w:t>加强购机者补贴申请行为的自我约束和信用管理，实行补贴申请资料真实性、完整性和有效性的自主承诺，引导其规范参与补贴政策实施，主动报告所发现的问题，共同维护政策实施良好环境。</w:t>
      </w:r>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r>
        <w:rPr>
          <w:rFonts w:hint="eastAsia" w:ascii="仿宋" w:hAnsi="仿宋" w:eastAsia="仿宋" w:cs="楷体_GB2312"/>
          <w:b/>
          <w:kern w:val="0"/>
          <w:sz w:val="32"/>
          <w:szCs w:val="32"/>
          <w:lang w:eastAsia="zh-CN"/>
        </w:rPr>
        <w:t>（三）全面排查违规线索。</w:t>
      </w:r>
      <w:r>
        <w:rPr>
          <w:rFonts w:hint="eastAsia" w:ascii="仿宋" w:hAnsi="仿宋" w:eastAsia="仿宋" w:cs="仿宋_GB2312"/>
          <w:kern w:val="0"/>
          <w:sz w:val="32"/>
          <w:szCs w:val="32"/>
          <w:lang w:eastAsia="zh-CN"/>
        </w:rPr>
        <w:t>对核验中发现的补贴申请违规行为线索，由核机工作人员逐条书面登记，并及时报告分管领导。开展违规线索集体研究，对违规嫌疑较大或反复出现的应启动调查程序，对违规嫌疑较小的留存材料备查。对补贴机具核验争议处理等重大事项，及时报请县级农机购置补贴领导小组研究决策。</w:t>
      </w:r>
    </w:p>
    <w:p>
      <w:pPr>
        <w:pStyle w:val="6"/>
        <w:widowControl/>
        <w:snapToGrid w:val="0"/>
        <w:spacing w:line="360" w:lineRule="auto"/>
        <w:ind w:left="0" w:firstLine="640" w:firstLineChars="0"/>
        <w:rPr>
          <w:rFonts w:hint="eastAsia" w:ascii="仿宋" w:hAnsi="仿宋" w:eastAsia="仿宋" w:cs="仿宋_GB2312"/>
          <w:kern w:val="0"/>
          <w:sz w:val="32"/>
          <w:szCs w:val="32"/>
          <w:lang w:eastAsia="zh-CN"/>
        </w:rPr>
      </w:pPr>
      <w:r>
        <w:rPr>
          <w:rFonts w:hint="eastAsia" w:ascii="仿宋" w:hAnsi="仿宋" w:eastAsia="仿宋" w:cs="楷体_GB2312"/>
          <w:b/>
          <w:kern w:val="0"/>
          <w:sz w:val="32"/>
          <w:szCs w:val="32"/>
          <w:lang w:eastAsia="zh-CN"/>
        </w:rPr>
        <w:t>（四）严格监督管理。</w:t>
      </w:r>
      <w:r>
        <w:rPr>
          <w:rFonts w:hint="eastAsia" w:ascii="仿宋" w:hAnsi="仿宋" w:eastAsia="仿宋" w:cs="仿宋_GB2312"/>
          <w:kern w:val="0"/>
          <w:sz w:val="32"/>
          <w:szCs w:val="32"/>
          <w:lang w:eastAsia="zh-CN"/>
        </w:rPr>
        <w:t>健全内部控制制度，以机具核验流程为主线，逐项工作、逐个环节查找风险点，制定防控措施。鼓励县农机、财政部门探索开展补贴机具第三方独立抽查核验和信息化技术核验。</w:t>
      </w:r>
    </w:p>
    <w:p>
      <w:pPr>
        <w:pStyle w:val="6"/>
        <w:widowControl/>
        <w:snapToGrid w:val="0"/>
        <w:spacing w:line="360" w:lineRule="auto"/>
        <w:ind w:left="0" w:firstLine="640" w:firstLineChars="0"/>
        <w:rPr>
          <w:rFonts w:hint="eastAsia" w:ascii="仿宋" w:hAnsi="仿宋" w:eastAsia="仿宋" w:cs="仿宋_GB2312"/>
          <w:kern w:val="0"/>
          <w:sz w:val="32"/>
          <w:szCs w:val="32"/>
          <w:lang w:val="en-US" w:eastAsia="zh-CN"/>
        </w:rPr>
      </w:pPr>
    </w:p>
    <w:p>
      <w:pPr>
        <w:pStyle w:val="6"/>
        <w:widowControl/>
        <w:snapToGrid w:val="0"/>
        <w:spacing w:line="360" w:lineRule="auto"/>
        <w:ind w:left="0" w:firstLine="640" w:firstLineChars="0"/>
        <w:rPr>
          <w:rFonts w:hint="default" w:ascii="仿宋" w:hAnsi="仿宋" w:eastAsia="仿宋" w:cs="仿宋_GB2312"/>
          <w:kern w:val="0"/>
          <w:sz w:val="32"/>
          <w:szCs w:val="32"/>
          <w:lang w:val="en-US" w:eastAsia="zh-CN"/>
        </w:rPr>
      </w:pPr>
      <w:bookmarkStart w:id="0" w:name="_GoBack"/>
      <w:bookmarkEnd w:id="0"/>
    </w:p>
    <w:p>
      <w:pPr>
        <w:pStyle w:val="6"/>
        <w:widowControl/>
        <w:snapToGrid w:val="0"/>
        <w:spacing w:line="360" w:lineRule="auto"/>
        <w:ind w:left="0" w:firstLine="0" w:firstLineChars="0"/>
        <w:rPr>
          <w:rFonts w:hint="eastAsia" w:ascii="仿宋" w:hAnsi="仿宋" w:eastAsia="仿宋" w:cs="仿宋"/>
          <w:kern w:val="0"/>
          <w:sz w:val="32"/>
          <w:szCs w:val="32"/>
          <w:lang w:val="en-US"/>
        </w:rPr>
      </w:pPr>
      <w:r>
        <w:rPr>
          <w:rFonts w:hint="eastAsia" w:ascii="仿宋" w:hAnsi="仿宋" w:eastAsia="仿宋" w:cs="仿宋_GB2312"/>
          <w:kern w:val="0"/>
          <w:sz w:val="32"/>
          <w:szCs w:val="32"/>
          <w:lang w:val="en-US"/>
        </w:rPr>
        <w:t xml:space="preserve">    </w:t>
      </w:r>
    </w:p>
    <w:p/>
    <w:p>
      <w:pPr>
        <w:numPr>
          <w:ilvl w:val="0"/>
          <w:numId w:val="0"/>
        </w:numPr>
        <w:ind w:leftChars="0"/>
        <w:rPr>
          <w:rFonts w:hint="default"/>
          <w:sz w:val="32"/>
          <w:szCs w:val="32"/>
          <w:lang w:val="en-US" w:eastAsia="zh-CN"/>
        </w:rPr>
      </w:pPr>
    </w:p>
    <w:p>
      <w:pPr>
        <w:numPr>
          <w:ilvl w:val="0"/>
          <w:numId w:val="0"/>
        </w:numPr>
        <w:ind w:leftChars="0"/>
        <w:rPr>
          <w:rFonts w:hint="default"/>
          <w:sz w:val="32"/>
          <w:szCs w:val="32"/>
          <w:lang w:val="en-US" w:eastAsia="zh-CN"/>
        </w:rPr>
      </w:pPr>
    </w:p>
    <w:p>
      <w:pPr>
        <w:widowControl/>
        <w:spacing w:line="480" w:lineRule="auto"/>
        <w:jc w:val="center"/>
        <w:rPr>
          <w:rFonts w:hint="eastAsia" w:ascii="Arial" w:hAnsi="Arial" w:cs="Arial"/>
          <w:b/>
          <w:bCs/>
          <w:color w:val="333333"/>
          <w:kern w:val="0"/>
          <w:sz w:val="44"/>
          <w:szCs w:val="44"/>
        </w:rPr>
      </w:pPr>
    </w:p>
    <w:p>
      <w:pPr>
        <w:widowControl/>
        <w:spacing w:line="480" w:lineRule="auto"/>
        <w:jc w:val="center"/>
        <w:rPr>
          <w:rFonts w:hint="eastAsia" w:ascii="Arial" w:hAnsi="Arial" w:cs="Arial"/>
          <w:b/>
          <w:bCs/>
          <w:color w:val="333333"/>
          <w:kern w:val="0"/>
          <w:sz w:val="44"/>
          <w:szCs w:val="44"/>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gency FB">
    <w:altName w:val="NumberOnly"/>
    <w:panose1 w:val="020B0503020202020204"/>
    <w:charset w:val="00"/>
    <w:family w:val="auto"/>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NumberOnly">
    <w:panose1 w:val="020B0500000000000000"/>
    <w:charset w:val="00"/>
    <w:family w:val="auto"/>
    <w:pitch w:val="default"/>
    <w:sig w:usb0="8000002F" w:usb1="10000048" w:usb2="00000000" w:usb3="00000000" w:csb0="00000111" w:csb1="40000000"/>
  </w:font>
  <w:font w:name="Calibri">
    <w:panose1 w:val="020F0502020204030204"/>
    <w:charset w:val="86"/>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Impact">
    <w:panose1 w:val="020B0806030902050204"/>
    <w:charset w:val="00"/>
    <w:family w:val="swiss"/>
    <w:pitch w:val="default"/>
    <w:sig w:usb0="00000287" w:usb1="00000000" w:usb2="00000000" w:usb3="00000000" w:csb0="2000009F" w:csb1="DFD70000"/>
  </w:font>
  <w:font w:name="方正小标宋简体">
    <w:panose1 w:val="03000509000000000000"/>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1C3452"/>
    <w:rsid w:val="11F66229"/>
    <w:rsid w:val="17DE106C"/>
    <w:rsid w:val="216307CB"/>
    <w:rsid w:val="2AD14471"/>
    <w:rsid w:val="36C74390"/>
    <w:rsid w:val="392B1558"/>
    <w:rsid w:val="3C8E1B8D"/>
    <w:rsid w:val="54662C9A"/>
    <w:rsid w:val="56245989"/>
    <w:rsid w:val="5F8B6397"/>
    <w:rsid w:val="631C3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2021-03-03T07:54:00Z</dcterms:created>
  <dc:creator>张振铎</dc:creator>
  <cp:lastModifiedBy>Administrator</cp:lastModifiedBy>
  <dcterms:modified xsi:type="dcterms:W3CDTF">2021-03-11T10:01:13Z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