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i w:val="0"/>
          <w:caps w:val="0"/>
          <w:color w:val="3E3E3E"/>
          <w:spacing w:val="0"/>
          <w:sz w:val="39"/>
          <w:szCs w:val="39"/>
        </w:rPr>
      </w:pPr>
      <w:r>
        <w:rPr>
          <w:rFonts w:hint="eastAsia" w:ascii="微软雅黑" w:hAnsi="微软雅黑" w:eastAsia="微软雅黑" w:cs="微软雅黑"/>
          <w:b/>
          <w:i w:val="0"/>
          <w:caps w:val="0"/>
          <w:color w:val="3E3E3E"/>
          <w:spacing w:val="0"/>
          <w:sz w:val="39"/>
          <w:szCs w:val="39"/>
          <w:bdr w:val="none" w:color="auto" w:sz="0" w:space="0"/>
        </w:rPr>
        <w:t>河南省农业机械技术中心关于调整茶树修剪机等农机购置补贴机具补贴额的公示</w:t>
      </w:r>
    </w:p>
    <w:p>
      <w:pPr>
        <w:pStyle w:val="3"/>
        <w:keepNext w:val="0"/>
        <w:keepLines w:val="0"/>
        <w:widowControl/>
        <w:suppressLineNumbers w:val="0"/>
        <w:wordWrap w:val="0"/>
        <w:spacing w:line="432" w:lineRule="atLeast"/>
        <w:ind w:lef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豫农机文〔2020〕50号</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根据农业农村部农机化司有关要求和《河南省2018-2020年农业机械购置补贴实施指导意见》精神，结合我省农机购置补贴政策实施情况，经省农业机械技术中心农机购置补贴工作领导小组研究，拟对茶树修剪机、采茶机、秸秆压块（粒、棒）机、农业用北斗终端（含渔船用）等部分档次补贴产品的补贴额进行调整。2020年12月23日（含）前购置的农机具（以发票日期为准）按原补贴额补贴，2020年12月24日（含）后购置的农机具按新的补贴额执行。现将调整后的补贴额予以公示，公示时间：2020年12月24日至2020年12月30日。</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如有异议，请于公示期内，以电子邮件或书面形式（单位需加盖公章）向河南省农业机械技术中心反映，所反映的情况要真实客观、准确全面，实事求是。反映人需注明真实姓名、单位及联系方式。</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联系人：孙程一 ，电话：0371-65918379</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电子邮箱：hnnjbttd@126.com</w:t>
      </w:r>
    </w:p>
    <w:p>
      <w:pPr>
        <w:pStyle w:val="3"/>
        <w:keepNext w:val="0"/>
        <w:keepLines w:val="0"/>
        <w:widowControl/>
        <w:suppressLineNumbers w:val="0"/>
        <w:wordWrap w:val="0"/>
        <w:spacing w:line="432" w:lineRule="atLeast"/>
        <w:jc w:val="both"/>
        <w:rPr>
          <w:rFonts w:hint="eastAsia" w:ascii="微软雅黑" w:hAnsi="微软雅黑" w:eastAsia="微软雅黑" w:cs="微软雅黑"/>
          <w:i w:val="0"/>
          <w:caps w:val="0"/>
          <w:color w:val="333333"/>
          <w:spacing w:val="0"/>
          <w:sz w:val="24"/>
          <w:szCs w:val="24"/>
          <w:bdr w:val="none" w:color="auto" w:sz="0" w:space="0"/>
        </w:rPr>
      </w:pPr>
    </w:p>
    <w:p>
      <w:pPr>
        <w:pStyle w:val="3"/>
        <w:keepNext w:val="0"/>
        <w:keepLines w:val="0"/>
        <w:widowControl/>
        <w:suppressLineNumbers w:val="0"/>
        <w:wordWrap w:val="0"/>
        <w:spacing w:line="432" w:lineRule="atLeast"/>
        <w:ind w:firstLine="1440" w:firstLineChars="600"/>
        <w:jc w:val="both"/>
        <w:rPr>
          <w:rFonts w:ascii="微软雅黑" w:hAnsi="微软雅黑" w:eastAsia="微软雅黑" w:cs="微软雅黑"/>
          <w:sz w:val="24"/>
          <w:szCs w:val="24"/>
        </w:rPr>
      </w:pP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河南省2020年农机购置补贴部分机具补贴额一览表</w:t>
      </w:r>
    </w:p>
    <w:p>
      <w:pPr>
        <w:pStyle w:val="3"/>
        <w:keepNext w:val="0"/>
        <w:keepLines w:val="0"/>
        <w:widowControl/>
        <w:suppressLineNumbers w:val="0"/>
        <w:wordWrap w:val="0"/>
        <w:spacing w:line="432" w:lineRule="atLeast"/>
        <w:ind w:left="0" w:firstLine="420"/>
        <w:jc w:val="center"/>
        <w:rPr>
          <w:rFonts w:hint="eastAsia" w:ascii="微软雅黑" w:hAnsi="微软雅黑" w:eastAsia="微软雅黑" w:cs="微软雅黑"/>
          <w:sz w:val="24"/>
          <w:szCs w:val="24"/>
        </w:rPr>
      </w:pPr>
    </w:p>
    <w:tbl>
      <w:tblPr>
        <w:tblW w:w="0" w:type="auto"/>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05"/>
        <w:gridCol w:w="2121"/>
        <w:gridCol w:w="1911"/>
        <w:gridCol w:w="2890"/>
        <w:gridCol w:w="13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000000"/>
                <w:sz w:val="21"/>
                <w:szCs w:val="21"/>
                <w:bdr w:val="none" w:color="auto" w:sz="0" w:space="0"/>
              </w:rPr>
              <w:t>序号</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ascii="黑体" w:hAnsi="宋体" w:eastAsia="黑体" w:cs="黑体"/>
                <w:color w:val="000000"/>
                <w:sz w:val="28"/>
                <w:szCs w:val="28"/>
                <w:bdr w:val="none" w:color="auto" w:sz="0" w:space="0"/>
              </w:rPr>
              <w:t>品目</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黑体" w:hAnsi="宋体" w:eastAsia="黑体" w:cs="黑体"/>
                <w:color w:val="000000"/>
                <w:sz w:val="28"/>
                <w:szCs w:val="28"/>
                <w:bdr w:val="none" w:color="auto" w:sz="0" w:space="0"/>
              </w:rPr>
              <w:t>分档名称</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黑体" w:hAnsi="宋体" w:eastAsia="黑体" w:cs="黑体"/>
                <w:color w:val="000000"/>
                <w:sz w:val="28"/>
                <w:szCs w:val="28"/>
                <w:bdr w:val="none" w:color="auto" w:sz="0" w:space="0"/>
              </w:rPr>
              <w:t>基本配置和参数</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黑体" w:hAnsi="宋体" w:eastAsia="黑体" w:cs="黑体"/>
                <w:color w:val="000000"/>
                <w:sz w:val="28"/>
                <w:szCs w:val="28"/>
                <w:bdr w:val="none" w:color="auto" w:sz="0" w:space="0"/>
              </w:rPr>
              <w:t>调整后的补贴额（元）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ascii="仿宋" w:hAnsi="仿宋" w:eastAsia="仿宋" w:cs="仿宋"/>
                <w:color w:val="000000"/>
                <w:sz w:val="24"/>
                <w:szCs w:val="24"/>
                <w:bdr w:val="none" w:color="auto" w:sz="0" w:space="0"/>
              </w:rPr>
              <w:t>1</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茶树修剪机</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双人平行式茶树修剪机</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自带动力；双人操作；作业幅宽≥1m</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2</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采茶机</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单人采茶机</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单人操作</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3</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采茶机</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双人采茶机</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双人操作</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4</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秸秆压块（粒、棒）机</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1-2t/h压块机</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1t/h≤生产率＜2t/h</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5</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秸秆压块（粒、棒）机</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2t/h及以上压块机</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生产率≥2t/h</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6</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农业用北斗终端（含渔船用）</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液压控制转向机，直线精度±2.5cm的北斗导航自动驾驶系统</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液压控制转向机，北斗导航自动驾驶系统，直线精度±2.5cm</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64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7</w:t>
            </w:r>
          </w:p>
        </w:tc>
        <w:tc>
          <w:tcPr>
            <w:tcW w:w="34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农业用北斗终端（含渔船用）</w:t>
            </w:r>
          </w:p>
        </w:tc>
        <w:tc>
          <w:tcPr>
            <w:tcW w:w="324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电动方向盘，直线精度±10cm的北斗导航辅助驾驶系统</w:t>
            </w:r>
          </w:p>
        </w:tc>
        <w:tc>
          <w:tcPr>
            <w:tcW w:w="522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电动方向盘，北斗导航辅助驾驶系统，直线精度±10cm</w:t>
            </w:r>
          </w:p>
        </w:tc>
        <w:tc>
          <w:tcPr>
            <w:tcW w:w="169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0"/>
              <w:jc w:val="center"/>
              <w:rPr>
                <w:rFonts w:hint="eastAsia" w:ascii="微软雅黑" w:hAnsi="微软雅黑" w:eastAsia="微软雅黑" w:cs="微软雅黑"/>
                <w:sz w:val="24"/>
                <w:szCs w:val="24"/>
              </w:rPr>
            </w:pPr>
            <w:r>
              <w:rPr>
                <w:rFonts w:hint="eastAsia" w:ascii="仿宋" w:hAnsi="仿宋" w:eastAsia="仿宋" w:cs="仿宋"/>
                <w:color w:val="000000"/>
                <w:sz w:val="24"/>
                <w:szCs w:val="24"/>
                <w:bdr w:val="none" w:color="auto" w:sz="0" w:space="0"/>
              </w:rPr>
              <w:t>5000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57361B"/>
    <w:rsid w:val="2B2E1626"/>
    <w:rsid w:val="3D81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2021-01-06T07:31:00Z</dcterms:created>
  <dc:creator>Liu</dc:creator>
  <cp:lastModifiedBy>Liu</cp:lastModifiedBy>
  <dcterms:modified xsi:type="dcterms:W3CDTF">2021-01-06T07:34:54Z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ies>
</file>