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center"/>
        <w:rPr>
          <w:rFonts w:hint="eastAsia" w:ascii="仿宋_GB2312" w:hAnsi="仿宋_GB2312" w:eastAsia="仿宋_GB2312" w:cs="仿宋_GB2312"/>
          <w:i w:val="0"/>
          <w:caps w:val="0"/>
          <w:color w:val="666666"/>
          <w:spacing w:val="0"/>
          <w:sz w:val="32"/>
          <w:szCs w:val="32"/>
        </w:rPr>
      </w:pPr>
      <w:r>
        <w:rPr>
          <w:rStyle w:val="5"/>
          <w:rFonts w:hint="eastAsia" w:ascii="方正小标宋简体" w:hAnsi="方正小标宋简体" w:eastAsia="方正小标宋简体" w:cs="方正小标宋简体"/>
          <w:b/>
          <w:i w:val="0"/>
          <w:caps w:val="0"/>
          <w:color w:val="666666"/>
          <w:spacing w:val="0"/>
          <w:kern w:val="0"/>
          <w:sz w:val="44"/>
          <w:szCs w:val="44"/>
          <w:shd w:val="clear" w:fill="FFFFFF"/>
          <w:lang w:val="en-US" w:eastAsia="zh-CN" w:bidi="ar"/>
        </w:rPr>
        <w:t>关于进一步加强农机购置补贴政策监管强化纪律约束的通知</w:t>
      </w:r>
      <w:r>
        <w:rPr>
          <w:rFonts w:hint="eastAsia" w:ascii="仿宋_GB2312" w:hAnsi="仿宋_GB2312" w:eastAsia="仿宋_GB2312" w:cs="仿宋_GB2312"/>
          <w:i w:val="0"/>
          <w:caps w:val="0"/>
          <w:color w:val="666666"/>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666666"/>
          <w:spacing w:val="0"/>
          <w:kern w:val="0"/>
          <w:sz w:val="32"/>
          <w:szCs w:val="32"/>
          <w:shd w:val="clear" w:fill="FFFFFF"/>
          <w:lang w:val="en-US" w:eastAsia="zh-CN" w:bidi="ar"/>
        </w:rPr>
        <w:t>农办机〔2019〕6号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br w:type="textWrapping"/>
      </w:r>
      <w:r>
        <w:rPr>
          <w:rFonts w:hint="eastAsia" w:ascii="楷体" w:hAnsi="楷体" w:eastAsia="楷体" w:cs="楷体"/>
          <w:i w:val="0"/>
          <w:caps w:val="0"/>
          <w:color w:val="666666"/>
          <w:spacing w:val="0"/>
          <w:kern w:val="0"/>
          <w:sz w:val="32"/>
          <w:szCs w:val="32"/>
          <w:shd w:val="clear" w:fill="FFFFFF"/>
          <w:lang w:val="en-US" w:eastAsia="zh-CN" w:bidi="ar"/>
        </w:rPr>
        <w:t>各省、自治区、直辖市及计划单列市农业农村（农牧）厅（委、局）、财政厅（局），新疆生产建设兵团农业农村局、财政局，黑龙江省农垦总局、广东省农垦总局，农业农村部农业机械试验鉴定总站、农业农村部农业机械化技术开发推广总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为深入贯彻落实《国务院关于加快推进农业机械化和农机装备产业转型升级的指导意见》（国发〔2018〕42号）和国务院深化“放管服”改革精神，进一步规范中央财政农机购置补贴政策实施工作，优化服务，强化监管，推进《2018—2020年农机购置补贴实施指导意见》各项规定有效落实，最大限度发挥政策效益，现就有关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黑体" w:hAnsi="黑体" w:eastAsia="黑体" w:cs="黑体"/>
          <w:i w:val="0"/>
          <w:caps w:val="0"/>
          <w:color w:val="666666"/>
          <w:spacing w:val="0"/>
          <w:sz w:val="32"/>
          <w:szCs w:val="32"/>
        </w:rPr>
      </w:pPr>
      <w:r>
        <w:rPr>
          <w:rFonts w:hint="eastAsia" w:ascii="黑体" w:hAnsi="黑体" w:eastAsia="黑体" w:cs="黑体"/>
          <w:i w:val="0"/>
          <w:caps w:val="0"/>
          <w:color w:val="666666"/>
          <w:spacing w:val="0"/>
          <w:kern w:val="0"/>
          <w:sz w:val="32"/>
          <w:szCs w:val="32"/>
          <w:shd w:val="clear" w:fill="FFFFFF"/>
          <w:lang w:val="en-US" w:eastAsia="zh-CN" w:bidi="ar"/>
        </w:rPr>
        <w:t>一、加强纪律规矩约束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一）落实政策实施风险防控责任。切实加强政策实施管理工作的领导，建立健全政府领导下的农机化、财政部门联合监管机制，落实省级及以下农机化、财政等相关部门指导监督责任。加强县级农机购置补贴领导小组建设，完善规章制度，进一步明确职责分工，深入落实领导小组的政策实施领导责任、县级及以下农机化主管部门组织实施责任和财政部门资金兑付与监管责任。强化对各级农机化和财政部门及其所属事业单位参与农机购置补贴关键重点工作人员的廉政教育和业务培训，提升政策实施和风险防控能力，严禁有关人员以各种形式直接或间接进行补贴机具经营活动。各级农机化、财政部门要以农机购置补贴实施操作流程为主线，逐项工作、逐一环节梳理查找风险点，有针对性地制定防控措施，切实提升补贴政策实施规范性，有效保障补贴资金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二）强化农机生产企业规范参与补贴政策实施承诺制。进一步细化实化自愿参与补贴政策实施的农机生产企业的承诺事项，落实企业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省级农机化主管部门报告。各地农机化主管部门要加强对农机生产企业承诺、践诺执行情况的监管和失信违规行为的调查处理，维护良好的补贴机具产销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三）全程全面公开信息。进一步完善县级农机购置补贴信息公开专栏建设，全面及时公开近三年县域内补贴受益对象、资金兑付情况、农机化和财政部门的咨询投诉举报电话、补贴资金规模、使用进度等各类信息，并按规定与省级及以上农业农村主管部门主办或指定的网站实现链接，全面接受社会监督。因地制宜、综合运用宣传挂图、报纸杂志、广播电视、互联网等方式，以及村务公开和“益农信息社”等渠道，全方位开展补贴政策与实施工作宣传，切实保障广大农民群众的知情权、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黑体" w:hAnsi="黑体" w:eastAsia="黑体" w:cs="黑体"/>
          <w:i w:val="0"/>
          <w:caps w:val="0"/>
          <w:color w:val="666666"/>
          <w:spacing w:val="0"/>
          <w:sz w:val="32"/>
          <w:szCs w:val="32"/>
        </w:rPr>
      </w:pPr>
      <w:r>
        <w:rPr>
          <w:rFonts w:hint="eastAsia" w:ascii="黑体" w:hAnsi="黑体" w:eastAsia="黑体" w:cs="黑体"/>
          <w:i w:val="0"/>
          <w:caps w:val="0"/>
          <w:color w:val="666666"/>
          <w:spacing w:val="0"/>
          <w:kern w:val="0"/>
          <w:sz w:val="32"/>
          <w:szCs w:val="32"/>
          <w:shd w:val="clear" w:fill="FFFFFF"/>
          <w:lang w:val="en-US" w:eastAsia="zh-CN" w:bidi="ar"/>
        </w:rPr>
        <w:t>二、严查严处违规行为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四）从严整治突出违规问题。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w:t>
      </w:r>
      <w:r>
        <w:rPr>
          <w:rFonts w:hint="eastAsia" w:ascii="仿宋_GB2312" w:hAnsi="仿宋_GB2312" w:eastAsia="仿宋_GB2312" w:cs="仿宋_GB2312"/>
          <w:i w:val="0"/>
          <w:caps w:val="0"/>
          <w:color w:val="666666"/>
          <w:spacing w:val="0"/>
          <w:kern w:val="0"/>
          <w:sz w:val="32"/>
          <w:szCs w:val="32"/>
          <w:u w:val="single"/>
          <w:shd w:val="clear" w:fill="FFFFFF"/>
          <w:lang w:val="en-US" w:eastAsia="zh-CN" w:bidi="ar"/>
        </w:rPr>
        <w:t>加强省际联动处理</w:t>
      </w:r>
      <w:bookmarkStart w:id="0" w:name="_GoBack"/>
      <w:bookmarkEnd w:id="0"/>
      <w:r>
        <w:rPr>
          <w:rFonts w:hint="eastAsia" w:ascii="仿宋_GB2312" w:hAnsi="仿宋_GB2312" w:eastAsia="仿宋_GB2312" w:cs="仿宋_GB2312"/>
          <w:i w:val="0"/>
          <w:caps w:val="0"/>
          <w:color w:val="666666"/>
          <w:spacing w:val="0"/>
          <w:kern w:val="0"/>
          <w:sz w:val="32"/>
          <w:szCs w:val="32"/>
          <w:u w:val="single"/>
          <w:shd w:val="clear" w:fill="FFFFFF"/>
          <w:lang w:val="en-US" w:eastAsia="zh-CN" w:bidi="ar"/>
        </w:rPr>
        <w:t>，对在一个省份发生较重、严重违规行为或被采取暂停全部产品补贴资格及以上处理措施的农机产销企业，其他各省份应及时联动，直接采信有关处理决定，对生产企业和涉及的经销企业作出同等处理，并结合实际进一步深入调查处理。</w:t>
      </w:r>
      <w:r>
        <w:rPr>
          <w:rFonts w:hint="eastAsia" w:ascii="仿宋_GB2312" w:hAnsi="仿宋_GB2312" w:eastAsia="仿宋_GB2312" w:cs="仿宋_GB2312"/>
          <w:i w:val="0"/>
          <w:caps w:val="0"/>
          <w:color w:val="666666"/>
          <w:spacing w:val="0"/>
          <w:kern w:val="0"/>
          <w:sz w:val="32"/>
          <w:szCs w:val="32"/>
          <w:shd w:val="clear" w:fill="FFFFFF"/>
          <w:lang w:val="en-US" w:eastAsia="zh-CN" w:bidi="ar"/>
        </w:rPr>
        <w:t>对参与较重及以上违规行为的购机者，给予3年内不得享受农机购置补贴的处理；对违规产销企业及其法定代表人、主要从业人员等违规人员，按规定列入黑名单。建立省际补贴机具信息联查机制，探索利用大数据技术进行对比分析，在全国范围内排查可疑线索，支持和指导各地做好违规行为查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五）强化联合查处。加强县级农机化、财政部门对违规行为的联合调查处理工作，对涉嫌较重或严重的违规行为，及时报请县级农机购置补贴领导小组或上级主管部门给予处理，必要时省级农机化、财政部门应及时采取措施，直接组织调查。在调查处理违规行为过程中，发现有干部涉嫌违纪违法的，要及时报告纪检监察机关；发现有农机产销企业、购机者涉嫌犯罪的，依法移送司法机关处理；发现有农机产销企业违规的，由省级农机化主管部门组织提出退缴资金的建议，省级财政部门按照相关规定作出决定，责令违规企业退缴资金，并处以罚款。对拒不履行资金处理决定的违规企业，由财政部门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黑体" w:hAnsi="黑体" w:eastAsia="黑体" w:cs="黑体"/>
          <w:i w:val="0"/>
          <w:caps w:val="0"/>
          <w:color w:val="666666"/>
          <w:spacing w:val="0"/>
          <w:sz w:val="32"/>
          <w:szCs w:val="32"/>
        </w:rPr>
      </w:pPr>
      <w:r>
        <w:rPr>
          <w:rFonts w:hint="eastAsia" w:ascii="黑体" w:hAnsi="黑体" w:eastAsia="黑体" w:cs="黑体"/>
          <w:i w:val="0"/>
          <w:caps w:val="0"/>
          <w:color w:val="666666"/>
          <w:spacing w:val="0"/>
          <w:kern w:val="0"/>
          <w:sz w:val="32"/>
          <w:szCs w:val="32"/>
          <w:shd w:val="clear" w:fill="FFFFFF"/>
          <w:lang w:val="en-US" w:eastAsia="zh-CN" w:bidi="ar"/>
        </w:rPr>
        <w:t>三、改进补贴资金申领与使用管理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六）强化补贴资金调度和调剂。加强省域内各县（市）资金执行情况的分析，督促预算执行进度较慢地区加快使用，在下半年组织开展县（市）际余缺调剂，指导县（市）优先使用结转资金，促进资金使用实现两年动态紧平衡。各省两年内未用完的结转资金应足额上缴中央财政。严格资金分配管理，切实按因素法科学测算和下达补贴资金，不突破县级需求上限分配补贴资金，将资金结转情况和违规行为发生情况作为重要分配因素，调减较大规模结转地区和违规行为影响恶劣地区的预算规模，切实提高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七）便利购机者申请补贴。2019年起，全面实行农机购置补贴辅助管理系统常年连续开放，系统中上年结转资金和当年投入资金并行使用，并全面推行补贴资金使用情况实时公开，方便购机者了解资金情况，及时申请补贴。清理、取消补贴申请过程中不必要的限制性规定。推广使用手机APP（含人脸识别）等信息化技术，开展非现场补贴申请、补贴机具核验预约等服务，因地制宜开展补贴办理“一站式”、进村入户等服务，加快实现购机者申领补贴“最多跑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lef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t>（八）推行补贴申请受理和资金兑付限时办理。明确县级及以下农机化主管部门在受理购机者补贴申请后，应于30个工作日（不含公示时间）内完成形式审核，并送同级财政部门；县级及以下财政部门根据农机化主管部门提供的材料依据，对符合要求的于30个工作日内通过国库集中支付的方式兑付资金，对不符合要求的应原渠道退回并由农机化主管部门通知购机者，因资金不足需要延期兑付的，应告知购机者，并及时与同级农机化主管部门联合向上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150" w:afterAutospacing="0" w:line="375" w:lineRule="atLeast"/>
        <w:ind w:left="0" w:firstLine="420"/>
        <w:jc w:val="right"/>
        <w:rPr>
          <w:rFonts w:hint="eastAsia" w:ascii="仿宋_GB2312" w:hAnsi="仿宋_GB2312" w:eastAsia="仿宋_GB2312" w:cs="仿宋_GB2312"/>
          <w:i w:val="0"/>
          <w:caps w:val="0"/>
          <w:color w:val="666666"/>
          <w:spacing w:val="0"/>
          <w:sz w:val="32"/>
          <w:szCs w:val="32"/>
        </w:rPr>
      </w:pPr>
      <w:r>
        <w:rPr>
          <w:rFonts w:hint="eastAsia" w:ascii="仿宋_GB2312" w:hAnsi="仿宋_GB2312" w:eastAsia="仿宋_GB2312" w:cs="仿宋_GB2312"/>
          <w:i w:val="0"/>
          <w:caps w:val="0"/>
          <w:color w:val="666666"/>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666666"/>
          <w:spacing w:val="0"/>
          <w:kern w:val="0"/>
          <w:sz w:val="32"/>
          <w:szCs w:val="32"/>
          <w:shd w:val="clear" w:fill="FFFFFF"/>
          <w:lang w:val="en-US" w:eastAsia="zh-CN" w:bidi="ar"/>
        </w:rPr>
        <w:t>农业农村部办公厅</w:t>
      </w:r>
      <w:r>
        <w:rPr>
          <w:rFonts w:hint="eastAsia" w:ascii="仿宋_GB2312" w:hAnsi="仿宋_GB2312" w:eastAsia="仿宋_GB2312" w:cs="仿宋_GB2312"/>
          <w:i w:val="0"/>
          <w:caps w:val="0"/>
          <w:color w:val="666666"/>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666666"/>
          <w:spacing w:val="0"/>
          <w:kern w:val="0"/>
          <w:sz w:val="32"/>
          <w:szCs w:val="32"/>
          <w:shd w:val="clear" w:fill="FFFFFF"/>
          <w:lang w:val="en-US" w:eastAsia="zh-CN" w:bidi="ar"/>
        </w:rPr>
        <w:t>财政部办公厅</w:t>
      </w:r>
      <w:r>
        <w:rPr>
          <w:rFonts w:hint="eastAsia" w:ascii="仿宋_GB2312" w:hAnsi="仿宋_GB2312" w:eastAsia="仿宋_GB2312" w:cs="仿宋_GB2312"/>
          <w:i w:val="0"/>
          <w:caps w:val="0"/>
          <w:color w:val="666666"/>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666666"/>
          <w:spacing w:val="0"/>
          <w:kern w:val="0"/>
          <w:sz w:val="32"/>
          <w:szCs w:val="32"/>
          <w:shd w:val="clear" w:fill="FFFFFF"/>
          <w:lang w:val="en-US" w:eastAsia="zh-CN" w:bidi="ar"/>
        </w:rPr>
        <w:t>2019年3月28日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B2DFF"/>
    <w:rsid w:val="077753F0"/>
    <w:rsid w:val="0E234B69"/>
    <w:rsid w:val="0F725654"/>
    <w:rsid w:val="102D3437"/>
    <w:rsid w:val="1697159B"/>
    <w:rsid w:val="16C67A71"/>
    <w:rsid w:val="187A3319"/>
    <w:rsid w:val="193C2480"/>
    <w:rsid w:val="1E986A09"/>
    <w:rsid w:val="2AB93170"/>
    <w:rsid w:val="44A1117B"/>
    <w:rsid w:val="595A5700"/>
    <w:rsid w:val="5CFB2DFF"/>
    <w:rsid w:val="68055464"/>
    <w:rsid w:val="6AAB7A32"/>
    <w:rsid w:val="6EC01BCE"/>
    <w:rsid w:val="6FA11E59"/>
    <w:rsid w:val="70AD4EE2"/>
    <w:rsid w:val="73197185"/>
    <w:rsid w:val="73AE48B5"/>
    <w:rsid w:val="74E3461A"/>
    <w:rsid w:val="7859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2020-11-05T05:15:00Z</dcterms:created>
  <dc:creator>邢辉</dc:creator>
  <cp:lastModifiedBy>邢辉</cp:lastModifiedBy>
  <dcterms:modified xsi:type="dcterms:W3CDTF">2020-11-06T00:29:03Z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