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 w:eastAsia="仿宋_GB2312" w:cs="Times New Roman"/>
          <w:bCs/>
          <w:sz w:val="32"/>
          <w:szCs w:val="32"/>
        </w:rPr>
      </w:pPr>
      <w:bookmarkStart w:id="0" w:name="_GoBack"/>
      <w:bookmarkEnd w:id="0"/>
    </w:p>
    <w:p>
      <w:pPr>
        <w:spacing w:line="600" w:lineRule="exact"/>
        <w:jc w:val="left"/>
        <w:rPr>
          <w:rFonts w:ascii="方正小标宋简体" w:hAnsi="仿宋" w:eastAsia="方正小标宋简体" w:cs="Times New Roman"/>
          <w:bCs/>
          <w:sz w:val="44"/>
          <w:szCs w:val="44"/>
        </w:rPr>
      </w:pPr>
    </w:p>
    <w:p>
      <w:pPr>
        <w:spacing w:line="600" w:lineRule="exact"/>
        <w:jc w:val="center"/>
        <w:rPr>
          <w:rFonts w:ascii="方正小标宋简体" w:hAnsi="仿宋" w:eastAsia="方正小标宋简体" w:cs="Times New Roman"/>
          <w:bCs/>
          <w:sz w:val="44"/>
          <w:szCs w:val="44"/>
        </w:rPr>
      </w:pPr>
      <w:r>
        <w:rPr>
          <w:rFonts w:hint="eastAsia" w:ascii="方正小标宋简体" w:hAnsi="仿宋" w:eastAsia="方正小标宋简体" w:cs="Times New Roman"/>
          <w:bCs/>
          <w:sz w:val="44"/>
          <w:szCs w:val="44"/>
        </w:rPr>
        <w:t>郸城县2020年农业机械购置累加补贴方案</w:t>
      </w:r>
    </w:p>
    <w:p>
      <w:pPr>
        <w:spacing w:line="600" w:lineRule="exact"/>
        <w:jc w:val="center"/>
        <w:rPr>
          <w:rFonts w:ascii="仿宋_GB2312" w:hAnsi="仿宋" w:eastAsia="仿宋_GB2312" w:cs="Times New Roman"/>
          <w:bCs/>
          <w:sz w:val="32"/>
          <w:szCs w:val="32"/>
        </w:rPr>
      </w:pPr>
    </w:p>
    <w:p>
      <w:pPr>
        <w:spacing w:line="560" w:lineRule="exact"/>
        <w:ind w:firstLine="640" w:firstLineChars="200"/>
        <w:jc w:val="left"/>
        <w:outlineLvl w:val="0"/>
        <w:rPr>
          <w:rFonts w:ascii="仿宋" w:hAnsi="仿宋" w:eastAsia="仿宋" w:cs="仿宋"/>
          <w:bCs/>
          <w:color w:val="333333"/>
          <w:sz w:val="32"/>
          <w:szCs w:val="32"/>
        </w:rPr>
      </w:pPr>
      <w:r>
        <w:rPr>
          <w:rFonts w:hint="eastAsia" w:ascii="仿宋" w:hAnsi="仿宋" w:eastAsia="仿宋" w:cs="仿宋"/>
          <w:sz w:val="32"/>
          <w:szCs w:val="32"/>
        </w:rPr>
        <w:t>为贯彻落实河南省农业农村厅、河南省财政厅《关于印发河南省2020年农业机械购置累加补贴方案、</w:t>
      </w:r>
      <w:r>
        <w:rPr>
          <w:rFonts w:hint="eastAsia" w:ascii="仿宋" w:hAnsi="仿宋" w:eastAsia="仿宋" w:cs="仿宋"/>
          <w:color w:val="000000"/>
          <w:spacing w:val="-8"/>
          <w:kern w:val="0"/>
          <w:sz w:val="32"/>
          <w:szCs w:val="32"/>
        </w:rPr>
        <w:t>河南省2020年遥控飞行喷雾机试验示范项目实施方案</w:t>
      </w:r>
      <w:r>
        <w:rPr>
          <w:rFonts w:hint="eastAsia" w:ascii="仿宋" w:hAnsi="仿宋" w:eastAsia="仿宋" w:cs="宋体"/>
          <w:color w:val="000000"/>
          <w:kern w:val="0"/>
          <w:sz w:val="32"/>
          <w:szCs w:val="32"/>
        </w:rPr>
        <w:t>和</w:t>
      </w:r>
      <w:r>
        <w:rPr>
          <w:rFonts w:hint="eastAsia" w:ascii="仿宋" w:hAnsi="仿宋" w:eastAsia="仿宋" w:cs="仿宋_GB2312"/>
          <w:bCs/>
          <w:sz w:val="32"/>
          <w:szCs w:val="32"/>
        </w:rPr>
        <w:t>河南省2020年低扬尘花生捡拾收获机试验示范项目实施方案</w:t>
      </w:r>
      <w:r>
        <w:rPr>
          <w:rFonts w:hint="eastAsia" w:ascii="仿宋" w:hAnsi="仿宋" w:eastAsia="仿宋" w:cs="Times New Roman"/>
          <w:sz w:val="32"/>
          <w:szCs w:val="32"/>
        </w:rPr>
        <w:t>的通知</w:t>
      </w:r>
      <w:r>
        <w:rPr>
          <w:rFonts w:hint="eastAsia" w:ascii="仿宋" w:hAnsi="仿宋" w:eastAsia="仿宋" w:cs="仿宋"/>
          <w:sz w:val="32"/>
          <w:szCs w:val="32"/>
        </w:rPr>
        <w:t>》（豫农文〔2020〕317号）文件精神，</w:t>
      </w:r>
      <w:r>
        <w:rPr>
          <w:rFonts w:hint="eastAsia" w:ascii="仿宋" w:hAnsi="仿宋" w:eastAsia="仿宋" w:cs="Times New Roman"/>
          <w:sz w:val="32"/>
          <w:szCs w:val="32"/>
        </w:rPr>
        <w:t>为了进一步推动我县农业关键、薄弱环节机械化发展，提高农机信息化和</w:t>
      </w:r>
      <w:r>
        <w:rPr>
          <w:rFonts w:hint="eastAsia" w:ascii="仿宋" w:hAnsi="仿宋" w:eastAsia="仿宋" w:cs="宋体"/>
          <w:bCs/>
          <w:color w:val="000000"/>
          <w:sz w:val="32"/>
          <w:szCs w:val="32"/>
        </w:rPr>
        <w:t>植保机械化水平，</w:t>
      </w:r>
      <w:r>
        <w:rPr>
          <w:rFonts w:hint="eastAsia" w:ascii="仿宋" w:hAnsi="仿宋" w:eastAsia="仿宋" w:cs="仿宋"/>
          <w:sz w:val="32"/>
          <w:szCs w:val="32"/>
        </w:rPr>
        <w:t xml:space="preserve"> 2020年我县对购置特定农机具继续实行省级财政累加补贴政策。方案如下：</w:t>
      </w:r>
    </w:p>
    <w:p>
      <w:pPr>
        <w:spacing w:line="560" w:lineRule="exact"/>
        <w:ind w:firstLine="645"/>
        <w:rPr>
          <w:rFonts w:ascii="仿宋" w:hAnsi="仿宋" w:eastAsia="仿宋" w:cs="Times New Roman"/>
          <w:b/>
          <w:sz w:val="32"/>
          <w:szCs w:val="32"/>
        </w:rPr>
      </w:pPr>
      <w:r>
        <w:rPr>
          <w:rFonts w:hint="eastAsia" w:ascii="仿宋" w:hAnsi="仿宋" w:eastAsia="仿宋" w:cs="Times New Roman"/>
          <w:b/>
          <w:sz w:val="32"/>
          <w:szCs w:val="32"/>
        </w:rPr>
        <w:t>一、指导思想</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深入贯彻落实《中共河南省委 河南省人民政府关于推进乡村振兴战略的实施意见》、省委省政府“四优四化”、高效种养业与绿色食品业转型升级的工作部署和《</w:t>
      </w:r>
      <w:r>
        <w:rPr>
          <w:rFonts w:hint="eastAsia" w:ascii="仿宋" w:hAnsi="仿宋" w:eastAsia="仿宋" w:cs="宋体"/>
          <w:kern w:val="36"/>
          <w:sz w:val="32"/>
          <w:szCs w:val="32"/>
        </w:rPr>
        <w:t>河南省人民政府办公厅关于加快推进农业机械化和农机装备产业高质量发展的意见</w:t>
      </w:r>
      <w:r>
        <w:rPr>
          <w:rFonts w:hint="eastAsia" w:ascii="仿宋" w:hAnsi="仿宋" w:eastAsia="仿宋" w:cs="Times New Roman"/>
          <w:sz w:val="32"/>
          <w:szCs w:val="32"/>
        </w:rPr>
        <w:t>》，</w:t>
      </w:r>
      <w:r>
        <w:rPr>
          <w:rFonts w:hint="eastAsia" w:ascii="仿宋" w:hAnsi="仿宋" w:eastAsia="仿宋" w:cs="Times New Roman"/>
          <w:bCs/>
          <w:sz w:val="32"/>
          <w:szCs w:val="32"/>
        </w:rPr>
        <w:t>以</w:t>
      </w:r>
      <w:r>
        <w:rPr>
          <w:rFonts w:hint="eastAsia" w:ascii="仿宋" w:hAnsi="仿宋" w:eastAsia="仿宋" w:cs="Times New Roman"/>
          <w:sz w:val="32"/>
          <w:szCs w:val="32"/>
        </w:rPr>
        <w:t>促进我县农业机械化、农业规模化和农机工业经营发展为主要目标，以优化农机装备结构，加快推进农业生产关键、薄弱环节发展，促进机械化信息化融合，确保粮食品质为主要任务，聚焦农业机械化发展不平衡不充分问题，着力补短板、强弱项、促协调，全力推进农机化科技创新，大力推广先进适用、技术成熟、安全可靠、节能环保、服务到位的累加补贴机具。最大限度发挥累加补贴政策的引导效应，进一步调动农民购买和使用累加补贴机具的积极性，推动我县</w:t>
      </w:r>
      <w:r>
        <w:rPr>
          <w:rFonts w:hint="eastAsia" w:ascii="仿宋" w:hAnsi="仿宋" w:eastAsia="仿宋" w:cs="黑体"/>
          <w:bCs/>
          <w:sz w:val="32"/>
          <w:szCs w:val="32"/>
        </w:rPr>
        <w:t>农业机械化</w:t>
      </w:r>
      <w:r>
        <w:rPr>
          <w:rFonts w:hint="eastAsia" w:ascii="仿宋" w:hAnsi="仿宋" w:eastAsia="仿宋" w:cs="Times New Roman"/>
          <w:sz w:val="32"/>
          <w:szCs w:val="32"/>
        </w:rPr>
        <w:t>全程全面高质高效发展。</w:t>
      </w:r>
    </w:p>
    <w:p>
      <w:pPr>
        <w:spacing w:line="560" w:lineRule="exact"/>
        <w:ind w:firstLine="646"/>
        <w:rPr>
          <w:rFonts w:ascii="仿宋" w:hAnsi="仿宋" w:eastAsia="仿宋" w:cs="Times New Roman"/>
          <w:b/>
          <w:sz w:val="32"/>
          <w:szCs w:val="32"/>
        </w:rPr>
      </w:pPr>
      <w:r>
        <w:rPr>
          <w:rFonts w:hint="eastAsia" w:ascii="仿宋" w:hAnsi="仿宋" w:eastAsia="仿宋" w:cs="Times New Roman"/>
          <w:b/>
          <w:sz w:val="32"/>
          <w:szCs w:val="32"/>
        </w:rPr>
        <w:t>二、主要目标</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（一）提高农机装备技术含量，增强农业综合生产能力。</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（二）推进“四优四化”，</w:t>
      </w:r>
      <w:r>
        <w:rPr>
          <w:rFonts w:hint="eastAsia" w:ascii="仿宋" w:hAnsi="仿宋" w:eastAsia="仿宋" w:cs="Times New Roman"/>
          <w:color w:val="000000"/>
          <w:sz w:val="32"/>
          <w:szCs w:val="32"/>
        </w:rPr>
        <w:t>助力农业供给侧</w:t>
      </w:r>
      <w:r>
        <w:rPr>
          <w:rFonts w:hint="eastAsia" w:ascii="仿宋" w:hAnsi="仿宋" w:eastAsia="仿宋" w:cs="Times New Roman"/>
          <w:sz w:val="32"/>
          <w:szCs w:val="32"/>
        </w:rPr>
        <w:t>结构性改革</w:t>
      </w:r>
      <w:r>
        <w:rPr>
          <w:rFonts w:hint="eastAsia" w:ascii="仿宋" w:hAnsi="仿宋" w:eastAsia="仿宋" w:cs="Times New Roman"/>
          <w:color w:val="000000"/>
          <w:sz w:val="32"/>
          <w:szCs w:val="32"/>
        </w:rPr>
        <w:t>。</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（三）突破机械化薄弱环节制约，协调提升机械化水平。</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（四）减轻不利天气对农业生产的影响，确保粮食品质，推进农业规模化经营。</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（五）促进农作物秸秆利用机械化技术推广，有效节约秸秆资源。</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（六）坚持绿色生态导向，支持环境生态保护。</w:t>
      </w:r>
    </w:p>
    <w:p>
      <w:pPr>
        <w:spacing w:line="560" w:lineRule="exact"/>
        <w:ind w:firstLine="646"/>
        <w:rPr>
          <w:rFonts w:ascii="仿宋" w:hAnsi="仿宋" w:eastAsia="仿宋" w:cs="Times New Roman"/>
          <w:sz w:val="32"/>
          <w:szCs w:val="32"/>
        </w:rPr>
      </w:pPr>
      <w:r>
        <w:rPr>
          <w:rFonts w:hint="eastAsia" w:ascii="仿宋" w:hAnsi="仿宋" w:eastAsia="仿宋" w:cs="Times New Roman"/>
          <w:sz w:val="32"/>
          <w:szCs w:val="32"/>
        </w:rPr>
        <w:t>（七）进一步调动农民购买和使用累加补贴机具的积极性。</w:t>
      </w:r>
    </w:p>
    <w:p>
      <w:pPr>
        <w:spacing w:line="560" w:lineRule="exact"/>
        <w:ind w:firstLine="645"/>
        <w:rPr>
          <w:rFonts w:ascii="仿宋" w:hAnsi="仿宋" w:eastAsia="仿宋" w:cs="Times New Roman"/>
          <w:b/>
          <w:sz w:val="32"/>
          <w:szCs w:val="32"/>
        </w:rPr>
      </w:pPr>
      <w:r>
        <w:rPr>
          <w:rFonts w:hint="eastAsia" w:ascii="仿宋" w:hAnsi="仿宋" w:eastAsia="仿宋" w:cs="Times New Roman"/>
          <w:b/>
          <w:sz w:val="32"/>
          <w:szCs w:val="32"/>
        </w:rPr>
        <w:t>三、实施范围</w:t>
      </w:r>
    </w:p>
    <w:p>
      <w:pPr>
        <w:autoSpaceDE w:val="0"/>
        <w:autoSpaceDN w:val="0"/>
        <w:adjustRightInd w:val="0"/>
        <w:spacing w:line="560" w:lineRule="exact"/>
        <w:ind w:firstLine="640" w:firstLineChars="200"/>
        <w:rPr>
          <w:rFonts w:ascii="仿宋" w:hAnsi="仿宋" w:eastAsia="仿宋" w:cs="_GB2312"/>
          <w:kern w:val="0"/>
          <w:sz w:val="32"/>
          <w:szCs w:val="32"/>
        </w:rPr>
      </w:pPr>
      <w:r>
        <w:rPr>
          <w:rFonts w:hint="eastAsia" w:ascii="仿宋" w:hAnsi="仿宋" w:eastAsia="仿宋" w:cs="Times New Roman"/>
          <w:sz w:val="32"/>
          <w:szCs w:val="32"/>
        </w:rPr>
        <w:t>根据农业发展和购机需求，以及农机购置补贴政策实施情况，充分发挥累加补贴政策的引导效应，累加补贴政策实施区域按《河南省2018-2020年农业机械购置补贴实施指导意见》（</w:t>
      </w:r>
      <w:r>
        <w:rPr>
          <w:rFonts w:hint="eastAsia" w:ascii="仿宋" w:hAnsi="仿宋" w:eastAsia="仿宋" w:cs="_GB2312"/>
          <w:kern w:val="0"/>
          <w:sz w:val="32"/>
          <w:szCs w:val="32"/>
        </w:rPr>
        <w:t>豫农机计文〔2018〕29号</w:t>
      </w:r>
      <w:r>
        <w:rPr>
          <w:rFonts w:hint="eastAsia" w:ascii="仿宋" w:hAnsi="仿宋" w:eastAsia="仿宋" w:cs="Times New Roman"/>
          <w:sz w:val="32"/>
          <w:szCs w:val="32"/>
        </w:rPr>
        <w:t>）规定执行。</w:t>
      </w:r>
    </w:p>
    <w:p>
      <w:pPr>
        <w:spacing w:line="560" w:lineRule="exact"/>
        <w:ind w:firstLine="645"/>
        <w:rPr>
          <w:rFonts w:ascii="仿宋" w:hAnsi="仿宋" w:eastAsia="仿宋" w:cs="Times New Roman"/>
          <w:b/>
          <w:sz w:val="32"/>
          <w:szCs w:val="32"/>
        </w:rPr>
      </w:pPr>
      <w:r>
        <w:rPr>
          <w:rFonts w:hint="eastAsia" w:ascii="仿宋" w:hAnsi="仿宋" w:eastAsia="仿宋" w:cs="Times New Roman"/>
          <w:b/>
          <w:sz w:val="32"/>
          <w:szCs w:val="32"/>
        </w:rPr>
        <w:t>四、累加补贴对象、范围、标准和时限</w:t>
      </w:r>
    </w:p>
    <w:p>
      <w:pPr>
        <w:spacing w:line="560" w:lineRule="exact"/>
        <w:ind w:firstLine="645"/>
        <w:rPr>
          <w:rFonts w:ascii="仿宋" w:hAnsi="仿宋" w:eastAsia="仿宋" w:cs="宋体"/>
          <w:color w:val="000000"/>
          <w:kern w:val="0"/>
          <w:sz w:val="32"/>
          <w:szCs w:val="32"/>
        </w:rPr>
      </w:pPr>
      <w:r>
        <w:rPr>
          <w:rFonts w:hint="eastAsia" w:ascii="仿宋" w:hAnsi="仿宋" w:eastAsia="仿宋" w:cs="Times New Roman"/>
          <w:sz w:val="32"/>
          <w:szCs w:val="32"/>
        </w:rPr>
        <w:t>（一）累加补贴对象。</w:t>
      </w:r>
      <w:r>
        <w:rPr>
          <w:rFonts w:hint="eastAsia" w:ascii="仿宋" w:hAnsi="仿宋" w:eastAsia="仿宋" w:cs="宋体"/>
          <w:color w:val="000000"/>
          <w:kern w:val="0"/>
          <w:sz w:val="32"/>
          <w:szCs w:val="32"/>
        </w:rPr>
        <w:t>从事农业生产</w:t>
      </w:r>
      <w:r>
        <w:rPr>
          <w:rFonts w:hint="eastAsia" w:ascii="仿宋" w:hAnsi="仿宋" w:eastAsia="仿宋" w:cs="Times New Roman"/>
          <w:color w:val="000000"/>
          <w:sz w:val="32"/>
          <w:szCs w:val="32"/>
        </w:rPr>
        <w:t>并已获得国家农机购置补贴</w:t>
      </w:r>
      <w:r>
        <w:rPr>
          <w:rFonts w:hint="eastAsia" w:ascii="仿宋" w:hAnsi="仿宋" w:eastAsia="仿宋" w:cs="宋体"/>
          <w:color w:val="000000"/>
          <w:kern w:val="0"/>
          <w:sz w:val="32"/>
          <w:szCs w:val="32"/>
        </w:rPr>
        <w:t>的个人和农业生产经营组织（以下简称“购机者”），其中农业生产经营组织包括农村集体经济组织、农民专业合作经济组织、农业企业和其他从事农业生产经营的组织</w:t>
      </w:r>
      <w:r>
        <w:rPr>
          <w:rFonts w:hint="eastAsia" w:ascii="仿宋" w:hAnsi="仿宋" w:eastAsia="仿宋" w:cs="Times New Roman"/>
          <w:sz w:val="32"/>
          <w:szCs w:val="32"/>
        </w:rPr>
        <w:t>。</w:t>
      </w:r>
    </w:p>
    <w:p>
      <w:pPr>
        <w:spacing w:line="560" w:lineRule="exact"/>
        <w:ind w:firstLine="645"/>
        <w:rPr>
          <w:rFonts w:ascii="仿宋" w:hAnsi="仿宋" w:eastAsia="仿宋" w:cs="Times New Roman"/>
          <w:bCs/>
          <w:sz w:val="32"/>
          <w:szCs w:val="32"/>
        </w:rPr>
      </w:pPr>
      <w:r>
        <w:rPr>
          <w:rFonts w:hint="eastAsia" w:ascii="仿宋" w:hAnsi="仿宋" w:eastAsia="仿宋" w:cs="Times New Roman"/>
          <w:sz w:val="32"/>
          <w:szCs w:val="32"/>
        </w:rPr>
        <w:t>（二）累加补贴范围。综合考虑我县农业和农业机械化发展方向和需求，累加补贴范围为购机对象按规定程序购买，且列入我省补贴范围的累加补贴机具。重点为</w:t>
      </w:r>
      <w:r>
        <w:rPr>
          <w:rFonts w:hint="eastAsia" w:ascii="仿宋" w:hAnsi="仿宋" w:eastAsia="仿宋" w:cs="Times New Roman"/>
          <w:bCs/>
          <w:sz w:val="32"/>
          <w:szCs w:val="32"/>
        </w:rPr>
        <w:t>深松机、花生收获机、</w:t>
      </w:r>
      <w:r>
        <w:rPr>
          <w:rFonts w:hint="eastAsia" w:ascii="仿宋" w:hAnsi="仿宋" w:eastAsia="仿宋" w:cs="Times New Roman"/>
          <w:sz w:val="32"/>
          <w:szCs w:val="32"/>
        </w:rPr>
        <w:t>打(压)捆机</w:t>
      </w:r>
      <w:r>
        <w:rPr>
          <w:rFonts w:hint="eastAsia" w:ascii="仿宋" w:hAnsi="仿宋" w:eastAsia="仿宋" w:cs="Times New Roman"/>
          <w:bCs/>
          <w:sz w:val="32"/>
          <w:szCs w:val="32"/>
        </w:rPr>
        <w:t>、谷物烘干机、果蔬烘干机、粪污固液分离机、病死畜禽无害化处理设备、大型动力换挡/换向拖拉机、农业用北斗终端、</w:t>
      </w:r>
      <w:r>
        <w:rPr>
          <w:rFonts w:hint="eastAsia" w:ascii="仿宋" w:hAnsi="仿宋" w:eastAsia="仿宋" w:cs="黑体"/>
          <w:sz w:val="32"/>
          <w:szCs w:val="32"/>
        </w:rPr>
        <w:t>畜禽粪便发酵处理机、有机肥加工设备、有机废弃物干式厌氧发酵装置等</w:t>
      </w:r>
      <w:r>
        <w:rPr>
          <w:rFonts w:hint="eastAsia" w:ascii="仿宋" w:hAnsi="仿宋" w:eastAsia="仿宋" w:cs="Times New Roman"/>
          <w:bCs/>
          <w:sz w:val="32"/>
          <w:szCs w:val="32"/>
        </w:rPr>
        <w:t>十四个品目机具。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（三）累加补贴标准。累加补贴额度以</w:t>
      </w:r>
      <w:r>
        <w:rPr>
          <w:rFonts w:hint="eastAsia" w:ascii="仿宋" w:hAnsi="仿宋" w:eastAsia="仿宋" w:cs="Times New Roman"/>
          <w:bCs/>
          <w:sz w:val="32"/>
          <w:szCs w:val="32"/>
        </w:rPr>
        <w:t>《河南省2018-2020年农机购置补贴机具补贴额一览表》</w:t>
      </w:r>
      <w:r>
        <w:rPr>
          <w:rFonts w:hint="eastAsia" w:ascii="仿宋" w:hAnsi="仿宋" w:eastAsia="仿宋" w:cs="Times New Roman"/>
          <w:sz w:val="32"/>
          <w:szCs w:val="32"/>
        </w:rPr>
        <w:t>（2020年调整）规定的定额补贴标准为基础累加1/3，其中打(压)捆机累加1/2,资金统一精确到十位。</w:t>
      </w:r>
      <w:r>
        <w:rPr>
          <w:rFonts w:hint="eastAsia" w:ascii="仿宋" w:hAnsi="仿宋" w:eastAsia="仿宋" w:cs="Times New Roman"/>
          <w:bCs/>
          <w:sz w:val="32"/>
          <w:szCs w:val="32"/>
        </w:rPr>
        <w:t>大型动力换挡/换向拖拉机实行定额累加补贴，标准见附表1</w:t>
      </w:r>
      <w:r>
        <w:rPr>
          <w:rFonts w:hint="eastAsia" w:ascii="仿宋" w:hAnsi="仿宋" w:eastAsia="仿宋" w:cs="Times New Roman"/>
          <w:sz w:val="32"/>
          <w:szCs w:val="32"/>
        </w:rPr>
        <w:t>。</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（四）累加补贴时限。</w:t>
      </w:r>
      <w:r>
        <w:rPr>
          <w:rFonts w:hint="eastAsia" w:ascii="仿宋" w:hAnsi="仿宋" w:eastAsia="仿宋" w:cs="Times New Roman"/>
          <w:sz w:val="32"/>
          <w:szCs w:val="32"/>
        </w:rPr>
        <w:t>2020年度。</w:t>
      </w:r>
    </w:p>
    <w:p>
      <w:pPr>
        <w:spacing w:line="560" w:lineRule="exact"/>
        <w:ind w:firstLine="645"/>
        <w:rPr>
          <w:rFonts w:ascii="仿宋" w:hAnsi="仿宋" w:eastAsia="仿宋" w:cs="Times New Roman"/>
          <w:b/>
          <w:sz w:val="32"/>
          <w:szCs w:val="32"/>
        </w:rPr>
      </w:pPr>
      <w:r>
        <w:rPr>
          <w:rFonts w:hint="eastAsia" w:ascii="仿宋" w:hAnsi="仿宋" w:eastAsia="仿宋" w:cs="Times New Roman"/>
          <w:b/>
          <w:sz w:val="32"/>
          <w:szCs w:val="32"/>
        </w:rPr>
        <w:t>五、操作实施要求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（一）按时衔接操作。累加补贴政策要与农机购置补贴政策紧密结合，必须在按规定完成农机购置补贴程序的基础上，办理累加补贴登记核实手续。</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累加补贴机具登记、核实。农机管理部门要根据农机购置补贴实施结果，认真审核补贴档案材料，对累加补贴对象进行登记，填写《2020年农业机械累加补贴登记核实表》（附表2）。农机购置补贴领导小组要组织对登记的累加补贴机具进行验收并将验收结果进行公示。验收合格后，由累加补贴对象签字盖章（或手印），县级农机购置补贴领导小组提出验收意见。累加补贴对象和生产企业及经销商要积极配合农机购置补贴领导小组组织的累加补贴机具验收，否则经农机购置补贴领导小组研究决定，将取消购机者享受累加补贴资格和生产企业及经销商销售补贴产品资格。</w:t>
      </w:r>
    </w:p>
    <w:p>
      <w:pPr>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sz w:val="32"/>
          <w:szCs w:val="32"/>
        </w:rPr>
        <w:t>（三）累加补贴资金支付。农机部门根据登记核实汇总表，提出累加补贴资金支付意见，由主要负责人签字并加盖公章，连同累加补贴登记核实表一份（原件）报同级财政部门，并对提供资料的准确性、合规性负责。财政部门根据农机部门提供的支付意见，将累加补贴资金拨付至购机者账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六、工作措施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严格按照河南省农业机械管理局、河南省财政厅印发的《河南省2018—2020年农业机械购置补贴实施指导意见》（</w:t>
      </w:r>
      <w:r>
        <w:rPr>
          <w:rFonts w:hint="eastAsia" w:ascii="仿宋" w:hAnsi="仿宋" w:eastAsia="仿宋" w:cs="_GB2312"/>
          <w:sz w:val="32"/>
          <w:szCs w:val="32"/>
        </w:rPr>
        <w:t>豫农机计文〔2018〕29号</w:t>
      </w:r>
      <w:r>
        <w:rPr>
          <w:rFonts w:hint="eastAsia" w:ascii="仿宋" w:hAnsi="仿宋" w:eastAsia="仿宋" w:cs="Times New Roman"/>
          <w:sz w:val="32"/>
          <w:szCs w:val="32"/>
        </w:rPr>
        <w:t>）要求，加强领导，密切配合，积极引导，科学调控，规范操作，严肃纪律，加强监管，确保累加补贴工作顺利实施。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附表：1.</w:t>
      </w:r>
      <w:r>
        <w:rPr>
          <w:rFonts w:hint="eastAsia" w:ascii="仿宋" w:hAnsi="仿宋" w:eastAsia="仿宋" w:cs="Times New Roman"/>
          <w:bCs/>
          <w:sz w:val="32"/>
          <w:szCs w:val="32"/>
        </w:rPr>
        <w:t>大型动力换挡/换向拖拉机</w:t>
      </w:r>
      <w:r>
        <w:rPr>
          <w:rFonts w:hint="eastAsia" w:ascii="仿宋" w:hAnsi="仿宋" w:eastAsia="仿宋" w:cs="Times New Roman"/>
          <w:sz w:val="32"/>
          <w:szCs w:val="32"/>
        </w:rPr>
        <w:t>累加补贴标准</w:t>
      </w:r>
    </w:p>
    <w:p>
      <w:pPr>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2.2020年农业机械累加补贴登记核实表</w:t>
      </w:r>
    </w:p>
    <w:p>
      <w:pPr>
        <w:spacing w:line="360" w:lineRule="auto"/>
        <w:rPr>
          <w:rFonts w:ascii="仿宋_GB2312" w:hAnsi="仿宋" w:eastAsia="仿宋_GB2312" w:cs="Times New Roman"/>
          <w:sz w:val="32"/>
          <w:szCs w:val="32"/>
        </w:rPr>
      </w:pPr>
    </w:p>
    <w:p>
      <w:pPr>
        <w:spacing w:line="360" w:lineRule="auto"/>
        <w:rPr>
          <w:rFonts w:ascii="仿宋_GB2312" w:hAnsi="仿宋" w:eastAsia="仿宋_GB2312" w:cs="Times New Roman"/>
          <w:sz w:val="32"/>
          <w:szCs w:val="32"/>
        </w:rPr>
      </w:pPr>
    </w:p>
    <w:p>
      <w:pPr>
        <w:spacing w:line="360" w:lineRule="auto"/>
        <w:rPr>
          <w:rFonts w:hint="eastAsia" w:ascii="仿宋_GB2312" w:hAnsi="仿宋" w:eastAsia="仿宋_GB2312" w:cs="Times New Roman"/>
          <w:sz w:val="32"/>
          <w:szCs w:val="32"/>
        </w:rPr>
      </w:pPr>
    </w:p>
    <w:p>
      <w:pPr>
        <w:spacing w:line="360" w:lineRule="auto"/>
        <w:rPr>
          <w:rFonts w:hint="eastAsia" w:ascii="仿宋_GB2312" w:hAnsi="仿宋" w:eastAsia="仿宋_GB2312" w:cs="Times New Roman"/>
          <w:sz w:val="32"/>
          <w:szCs w:val="32"/>
        </w:rPr>
      </w:pPr>
    </w:p>
    <w:p>
      <w:pPr>
        <w:spacing w:line="360" w:lineRule="auto"/>
        <w:rPr>
          <w:rFonts w:hint="eastAsia" w:ascii="仿宋_GB2312" w:hAnsi="仿宋" w:eastAsia="仿宋_GB2312" w:cs="Times New Roman"/>
          <w:sz w:val="32"/>
          <w:szCs w:val="32"/>
        </w:rPr>
      </w:pPr>
    </w:p>
    <w:p>
      <w:pPr>
        <w:spacing w:line="360" w:lineRule="auto"/>
        <w:rPr>
          <w:rFonts w:hint="eastAsia" w:ascii="仿宋_GB2312" w:hAnsi="仿宋" w:eastAsia="仿宋_GB2312" w:cs="Times New Roman"/>
          <w:sz w:val="32"/>
          <w:szCs w:val="32"/>
        </w:rPr>
      </w:pPr>
    </w:p>
    <w:p>
      <w:pPr>
        <w:spacing w:line="360" w:lineRule="auto"/>
        <w:rPr>
          <w:rFonts w:hint="eastAsia" w:ascii="仿宋_GB2312" w:hAnsi="仿宋" w:eastAsia="仿宋_GB2312" w:cs="Times New Roman"/>
          <w:sz w:val="32"/>
          <w:szCs w:val="32"/>
        </w:rPr>
      </w:pPr>
    </w:p>
    <w:p>
      <w:pPr>
        <w:spacing w:line="360" w:lineRule="auto"/>
        <w:rPr>
          <w:rFonts w:hint="eastAsia" w:ascii="仿宋_GB2312" w:hAnsi="仿宋" w:eastAsia="仿宋_GB2312" w:cs="Times New Roman"/>
          <w:sz w:val="32"/>
          <w:szCs w:val="32"/>
        </w:rPr>
      </w:pPr>
    </w:p>
    <w:p>
      <w:pPr>
        <w:spacing w:line="360" w:lineRule="auto"/>
        <w:rPr>
          <w:rFonts w:ascii="仿宋_GB2312" w:hAnsi="仿宋" w:eastAsia="仿宋_GB2312" w:cs="Times New Roman"/>
          <w:sz w:val="32"/>
          <w:szCs w:val="32"/>
        </w:rPr>
      </w:pPr>
    </w:p>
    <w:p>
      <w:pPr>
        <w:spacing w:line="360" w:lineRule="auto"/>
        <w:rPr>
          <w:rFonts w:ascii="仿宋_GB2312" w:hAnsi="仿宋" w:eastAsia="仿宋_GB2312" w:cs="Times New Roman"/>
          <w:sz w:val="32"/>
          <w:szCs w:val="32"/>
        </w:rPr>
      </w:pPr>
    </w:p>
    <w:p>
      <w:pPr>
        <w:spacing w:line="360" w:lineRule="auto"/>
        <w:rPr>
          <w:rFonts w:ascii="仿宋_GB2312" w:hAnsi="仿宋" w:eastAsia="仿宋_GB2312" w:cs="Times New Roman"/>
          <w:sz w:val="32"/>
          <w:szCs w:val="32"/>
        </w:rPr>
      </w:pPr>
    </w:p>
    <w:p>
      <w:pPr>
        <w:spacing w:line="360" w:lineRule="auto"/>
        <w:rPr>
          <w:rFonts w:ascii="仿宋_GB2312" w:hAnsi="仿宋" w:eastAsia="仿宋_GB2312" w:cs="Times New Roman"/>
          <w:sz w:val="32"/>
          <w:szCs w:val="32"/>
        </w:rPr>
      </w:pPr>
      <w:r>
        <w:rPr>
          <w:rFonts w:hint="eastAsia" w:ascii="仿宋_GB2312" w:hAnsi="仿宋" w:eastAsia="仿宋_GB2312" w:cs="Times New Roman"/>
          <w:sz w:val="32"/>
          <w:szCs w:val="32"/>
        </w:rPr>
        <w:t>附表1：</w:t>
      </w:r>
    </w:p>
    <w:p>
      <w:pPr>
        <w:spacing w:line="360" w:lineRule="auto"/>
        <w:jc w:val="center"/>
        <w:rPr>
          <w:rFonts w:ascii="仿宋" w:hAnsi="仿宋" w:eastAsia="仿宋" w:cs="Times New Roman"/>
          <w:b/>
          <w:sz w:val="36"/>
          <w:szCs w:val="36"/>
        </w:rPr>
      </w:pPr>
      <w:r>
        <w:rPr>
          <w:rFonts w:hint="eastAsia" w:ascii="仿宋" w:hAnsi="仿宋" w:eastAsia="仿宋" w:cs="Times New Roman"/>
          <w:b/>
          <w:bCs/>
          <w:sz w:val="36"/>
          <w:szCs w:val="36"/>
        </w:rPr>
        <w:t>大型动力换挡</w:t>
      </w:r>
      <w:r>
        <w:rPr>
          <w:rFonts w:ascii="仿宋" w:hAnsi="仿宋" w:eastAsia="仿宋" w:cs="Times New Roman"/>
          <w:b/>
          <w:bCs/>
          <w:sz w:val="36"/>
          <w:szCs w:val="36"/>
        </w:rPr>
        <w:t>/</w:t>
      </w:r>
      <w:r>
        <w:rPr>
          <w:rFonts w:hint="eastAsia" w:ascii="仿宋" w:hAnsi="仿宋" w:eastAsia="仿宋" w:cs="Times New Roman"/>
          <w:b/>
          <w:bCs/>
          <w:sz w:val="36"/>
          <w:szCs w:val="36"/>
        </w:rPr>
        <w:t>换向拖拉机</w:t>
      </w:r>
      <w:r>
        <w:rPr>
          <w:rFonts w:hint="eastAsia" w:ascii="仿宋" w:hAnsi="仿宋" w:eastAsia="仿宋" w:cs="Times New Roman"/>
          <w:b/>
          <w:sz w:val="36"/>
          <w:szCs w:val="36"/>
        </w:rPr>
        <w:t>累加补贴标准</w:t>
      </w:r>
    </w:p>
    <w:p>
      <w:pPr>
        <w:spacing w:line="360" w:lineRule="auto"/>
        <w:rPr>
          <w:rFonts w:ascii="仿宋_GB2312" w:hAnsi="仿宋" w:eastAsia="仿宋_GB2312" w:cs="Times New Roman"/>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304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33" w:type="dxa"/>
            <w:vAlign w:val="bottom"/>
          </w:tcPr>
          <w:p>
            <w:pPr>
              <w:spacing w:line="360" w:lineRule="auto"/>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分档名称</w:t>
            </w:r>
          </w:p>
        </w:tc>
        <w:tc>
          <w:tcPr>
            <w:tcW w:w="3045" w:type="dxa"/>
            <w:vAlign w:val="bottom"/>
          </w:tcPr>
          <w:p>
            <w:pPr>
              <w:spacing w:line="360" w:lineRule="auto"/>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累加补贴额（元）</w:t>
            </w:r>
          </w:p>
        </w:tc>
        <w:tc>
          <w:tcPr>
            <w:tcW w:w="1068" w:type="dxa"/>
            <w:vAlign w:val="bottom"/>
          </w:tcPr>
          <w:p>
            <w:pPr>
              <w:spacing w:line="360" w:lineRule="auto"/>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80—90马力四轮驱动拖拉机</w:t>
            </w:r>
          </w:p>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（动力换档、动力换向）</w:t>
            </w:r>
          </w:p>
        </w:tc>
        <w:tc>
          <w:tcPr>
            <w:tcW w:w="3045"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4000</w:t>
            </w:r>
          </w:p>
        </w:tc>
        <w:tc>
          <w:tcPr>
            <w:tcW w:w="1068" w:type="dxa"/>
            <w:vAlign w:val="center"/>
          </w:tcPr>
          <w:p>
            <w:pPr>
              <w:spacing w:line="360" w:lineRule="auto"/>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90—100马力四轮驱动拖拉机</w:t>
            </w:r>
          </w:p>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（动力换档、动力换向）</w:t>
            </w:r>
          </w:p>
        </w:tc>
        <w:tc>
          <w:tcPr>
            <w:tcW w:w="3045"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4600</w:t>
            </w:r>
          </w:p>
        </w:tc>
        <w:tc>
          <w:tcPr>
            <w:tcW w:w="1068" w:type="dxa"/>
            <w:vAlign w:val="center"/>
          </w:tcPr>
          <w:p>
            <w:pPr>
              <w:spacing w:line="360" w:lineRule="auto"/>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100—120马力四轮驱动拖拉机</w:t>
            </w:r>
          </w:p>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（动力换档、动力换向）</w:t>
            </w:r>
          </w:p>
        </w:tc>
        <w:tc>
          <w:tcPr>
            <w:tcW w:w="3045"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4800</w:t>
            </w:r>
          </w:p>
        </w:tc>
        <w:tc>
          <w:tcPr>
            <w:tcW w:w="1068" w:type="dxa"/>
            <w:vAlign w:val="center"/>
          </w:tcPr>
          <w:p>
            <w:pPr>
              <w:spacing w:line="360" w:lineRule="auto"/>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120马力以上四轮驱动拖拉机</w:t>
            </w:r>
          </w:p>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（动力换档、动力换向）</w:t>
            </w:r>
          </w:p>
        </w:tc>
        <w:tc>
          <w:tcPr>
            <w:tcW w:w="3045"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6200</w:t>
            </w:r>
          </w:p>
        </w:tc>
        <w:tc>
          <w:tcPr>
            <w:tcW w:w="1068" w:type="dxa"/>
            <w:vAlign w:val="center"/>
          </w:tcPr>
          <w:p>
            <w:pPr>
              <w:spacing w:line="360" w:lineRule="auto"/>
              <w:jc w:val="center"/>
              <w:rPr>
                <w:rFonts w:ascii="仿宋" w:hAnsi="仿宋" w:eastAsia="仿宋" w:cs="Times New Roman"/>
                <w:sz w:val="32"/>
                <w:szCs w:val="32"/>
              </w:rPr>
            </w:pPr>
          </w:p>
        </w:tc>
      </w:tr>
    </w:tbl>
    <w:p>
      <w:pPr>
        <w:spacing w:line="360" w:lineRule="auto"/>
        <w:rPr>
          <w:rFonts w:ascii="仿宋_GB2312" w:hAnsi="仿宋" w:eastAsia="仿宋_GB2312" w:cs="Times New Roman"/>
          <w:sz w:val="32"/>
          <w:szCs w:val="32"/>
        </w:rPr>
        <w:sectPr>
          <w:headerReference r:id="rId3" w:type="default"/>
          <w:footerReference r:id="rId5" w:type="default"/>
          <w:headerReference r:id="rId4" w:type="even"/>
          <w:footerReference r:id="rId6" w:type="even"/>
          <w:pgSz w:w="11906" w:h="16838"/>
          <w:pgMar w:top="1440" w:right="1588" w:bottom="1440" w:left="1588" w:header="851" w:footer="992" w:gutter="0"/>
          <w:cols w:space="720" w:num="1"/>
          <w:docGrid w:linePitch="312" w:charSpace="0"/>
        </w:sectPr>
      </w:pPr>
    </w:p>
    <w:p>
      <w:pPr>
        <w:rPr>
          <w:rFonts w:ascii="仿宋_GB2312" w:hAnsi="仿宋" w:eastAsia="仿宋_GB2312" w:cs="Times New Roman"/>
          <w:sz w:val="32"/>
          <w:szCs w:val="32"/>
        </w:rPr>
      </w:pPr>
      <w:r>
        <w:rPr>
          <w:rFonts w:hint="eastAsia" w:ascii="仿宋_GB2312" w:hAnsi="仿宋" w:eastAsia="仿宋_GB2312" w:cs="Times New Roman"/>
          <w:sz w:val="32"/>
          <w:szCs w:val="32"/>
        </w:rPr>
        <w:t>附表2</w:t>
      </w:r>
    </w:p>
    <w:p>
      <w:pPr>
        <w:jc w:val="center"/>
        <w:rPr>
          <w:rFonts w:ascii="仿宋" w:hAnsi="仿宋" w:eastAsia="仿宋" w:cs="Times New Roman"/>
          <w:b/>
          <w:sz w:val="40"/>
          <w:szCs w:val="44"/>
        </w:rPr>
      </w:pPr>
      <w:r>
        <w:rPr>
          <w:rFonts w:hint="eastAsia" w:ascii="仿宋" w:hAnsi="仿宋" w:eastAsia="仿宋" w:cs="Times New Roman"/>
          <w:b/>
          <w:sz w:val="40"/>
          <w:szCs w:val="44"/>
        </w:rPr>
        <w:t>2020年农业机械累加补贴登记核实表</w:t>
      </w:r>
    </w:p>
    <w:p>
      <w:pPr>
        <w:jc w:val="center"/>
        <w:rPr>
          <w:rFonts w:ascii="仿宋" w:hAnsi="仿宋" w:eastAsia="仿宋" w:cs="Times New Roman"/>
          <w:szCs w:val="21"/>
        </w:rPr>
      </w:pPr>
    </w:p>
    <w:p>
      <w:pPr>
        <w:rPr>
          <w:rFonts w:ascii="仿宋" w:hAnsi="仿宋" w:eastAsia="仿宋" w:cs="Times New Roman"/>
          <w:sz w:val="24"/>
          <w:szCs w:val="24"/>
        </w:rPr>
      </w:pPr>
      <w:r>
        <w:rPr>
          <w:rFonts w:hint="eastAsia" w:ascii="仿宋" w:hAnsi="仿宋" w:eastAsia="仿宋" w:cs="Times New Roman"/>
          <w:sz w:val="24"/>
          <w:szCs w:val="24"/>
        </w:rPr>
        <w:t>填报单位（章）：                                                                     上报时间：     年   月   日</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049"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购买机具名称</w:t>
            </w:r>
          </w:p>
        </w:tc>
        <w:tc>
          <w:tcPr>
            <w:tcW w:w="932"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购买机具型号</w:t>
            </w:r>
          </w:p>
        </w:tc>
        <w:tc>
          <w:tcPr>
            <w:tcW w:w="1846"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机具生产厂家</w:t>
            </w:r>
          </w:p>
        </w:tc>
        <w:tc>
          <w:tcPr>
            <w:tcW w:w="1418"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购机者姓名（组织名称）</w:t>
            </w:r>
          </w:p>
        </w:tc>
        <w:tc>
          <w:tcPr>
            <w:tcW w:w="649"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购买台数</w:t>
            </w:r>
          </w:p>
        </w:tc>
        <w:tc>
          <w:tcPr>
            <w:tcW w:w="1418" w:type="dxa"/>
            <w:vAlign w:val="center"/>
          </w:tcPr>
          <w:p>
            <w:pPr>
              <w:spacing w:after="60"/>
              <w:jc w:val="center"/>
              <w:outlineLvl w:val="0"/>
              <w:rPr>
                <w:rFonts w:ascii="仿宋" w:hAnsi="仿宋" w:eastAsia="仿宋" w:cs="Times New Roman"/>
                <w:b/>
                <w:bCs/>
                <w:szCs w:val="21"/>
              </w:rPr>
            </w:pPr>
            <w:r>
              <w:rPr>
                <w:rFonts w:hint="eastAsia" w:ascii="仿宋" w:hAnsi="仿宋" w:eastAsia="仿宋" w:cs="Times New Roman"/>
                <w:b/>
                <w:bCs/>
                <w:szCs w:val="21"/>
              </w:rPr>
              <w:t>购机时间</w:t>
            </w:r>
          </w:p>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（年、月、日）</w:t>
            </w:r>
          </w:p>
        </w:tc>
        <w:tc>
          <w:tcPr>
            <w:tcW w:w="3657"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详细地址</w:t>
            </w:r>
          </w:p>
        </w:tc>
        <w:tc>
          <w:tcPr>
            <w:tcW w:w="840"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中央补贴金额（元）</w:t>
            </w:r>
          </w:p>
        </w:tc>
        <w:tc>
          <w:tcPr>
            <w:tcW w:w="840"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累加补贴金额（元）</w:t>
            </w:r>
          </w:p>
        </w:tc>
        <w:tc>
          <w:tcPr>
            <w:tcW w:w="986" w:type="dxa"/>
            <w:vAlign w:val="center"/>
          </w:tcPr>
          <w:p>
            <w:pPr>
              <w:spacing w:before="240" w:after="60"/>
              <w:jc w:val="center"/>
              <w:outlineLvl w:val="0"/>
              <w:rPr>
                <w:rFonts w:ascii="仿宋" w:hAnsi="仿宋" w:eastAsia="仿宋" w:cs="Times New Roman"/>
                <w:b/>
                <w:bCs/>
                <w:szCs w:val="21"/>
              </w:rPr>
            </w:pPr>
            <w:r>
              <w:rPr>
                <w:rFonts w:hint="eastAsia" w:ascii="仿宋" w:hAnsi="仿宋" w:eastAsia="仿宋" w:cs="Times New Roman"/>
                <w:b/>
                <w:bCs/>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cs="Times New Roman"/>
                <w:sz w:val="32"/>
                <w:szCs w:val="32"/>
              </w:rPr>
            </w:pPr>
          </w:p>
        </w:tc>
        <w:tc>
          <w:tcPr>
            <w:tcW w:w="932" w:type="dxa"/>
          </w:tcPr>
          <w:p>
            <w:pPr>
              <w:ind w:right="640"/>
              <w:jc w:val="center"/>
              <w:rPr>
                <w:rFonts w:ascii="仿宋" w:hAnsi="仿宋" w:eastAsia="仿宋" w:cs="Times New Roman"/>
                <w:sz w:val="32"/>
                <w:szCs w:val="32"/>
              </w:rPr>
            </w:pPr>
          </w:p>
        </w:tc>
        <w:tc>
          <w:tcPr>
            <w:tcW w:w="1846"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649"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3657"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986" w:type="dxa"/>
          </w:tcPr>
          <w:p>
            <w:pPr>
              <w:ind w:right="640"/>
              <w:jc w:val="center"/>
              <w:rPr>
                <w:rFonts w:ascii="仿宋" w:hAnsi="仿宋" w:eastAsia="仿宋"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49" w:type="dxa"/>
          </w:tcPr>
          <w:p>
            <w:pPr>
              <w:ind w:right="640"/>
              <w:jc w:val="center"/>
              <w:rPr>
                <w:rFonts w:ascii="仿宋" w:hAnsi="仿宋" w:eastAsia="仿宋" w:cs="Times New Roman"/>
                <w:sz w:val="32"/>
                <w:szCs w:val="32"/>
              </w:rPr>
            </w:pPr>
          </w:p>
        </w:tc>
        <w:tc>
          <w:tcPr>
            <w:tcW w:w="932" w:type="dxa"/>
          </w:tcPr>
          <w:p>
            <w:pPr>
              <w:ind w:right="640"/>
              <w:jc w:val="center"/>
              <w:rPr>
                <w:rFonts w:ascii="仿宋" w:hAnsi="仿宋" w:eastAsia="仿宋" w:cs="Times New Roman"/>
                <w:sz w:val="32"/>
                <w:szCs w:val="32"/>
              </w:rPr>
            </w:pPr>
          </w:p>
        </w:tc>
        <w:tc>
          <w:tcPr>
            <w:tcW w:w="1846"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649"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3657"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986" w:type="dxa"/>
          </w:tcPr>
          <w:p>
            <w:pPr>
              <w:ind w:right="640"/>
              <w:jc w:val="center"/>
              <w:rPr>
                <w:rFonts w:ascii="仿宋" w:hAnsi="仿宋" w:eastAsia="仿宋"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cs="Times New Roman"/>
                <w:sz w:val="32"/>
                <w:szCs w:val="32"/>
              </w:rPr>
            </w:pPr>
          </w:p>
        </w:tc>
        <w:tc>
          <w:tcPr>
            <w:tcW w:w="932" w:type="dxa"/>
          </w:tcPr>
          <w:p>
            <w:pPr>
              <w:ind w:right="640"/>
              <w:jc w:val="center"/>
              <w:rPr>
                <w:rFonts w:ascii="仿宋" w:hAnsi="仿宋" w:eastAsia="仿宋" w:cs="Times New Roman"/>
                <w:sz w:val="32"/>
                <w:szCs w:val="32"/>
              </w:rPr>
            </w:pPr>
          </w:p>
        </w:tc>
        <w:tc>
          <w:tcPr>
            <w:tcW w:w="1846"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649"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3657"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986" w:type="dxa"/>
          </w:tcPr>
          <w:p>
            <w:pPr>
              <w:ind w:right="640"/>
              <w:jc w:val="center"/>
              <w:rPr>
                <w:rFonts w:ascii="仿宋" w:hAnsi="仿宋" w:eastAsia="仿宋"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cs="Times New Roman"/>
                <w:sz w:val="32"/>
                <w:szCs w:val="32"/>
              </w:rPr>
            </w:pPr>
          </w:p>
        </w:tc>
        <w:tc>
          <w:tcPr>
            <w:tcW w:w="932" w:type="dxa"/>
          </w:tcPr>
          <w:p>
            <w:pPr>
              <w:ind w:right="640"/>
              <w:jc w:val="center"/>
              <w:rPr>
                <w:rFonts w:ascii="仿宋" w:hAnsi="仿宋" w:eastAsia="仿宋" w:cs="Times New Roman"/>
                <w:sz w:val="32"/>
                <w:szCs w:val="32"/>
              </w:rPr>
            </w:pPr>
          </w:p>
        </w:tc>
        <w:tc>
          <w:tcPr>
            <w:tcW w:w="1846"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649"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3657"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986" w:type="dxa"/>
          </w:tcPr>
          <w:p>
            <w:pPr>
              <w:ind w:right="640"/>
              <w:jc w:val="center"/>
              <w:rPr>
                <w:rFonts w:ascii="仿宋" w:hAnsi="仿宋" w:eastAsia="仿宋"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cs="Times New Roman"/>
                <w:sz w:val="32"/>
                <w:szCs w:val="32"/>
              </w:rPr>
            </w:pPr>
          </w:p>
        </w:tc>
        <w:tc>
          <w:tcPr>
            <w:tcW w:w="932" w:type="dxa"/>
          </w:tcPr>
          <w:p>
            <w:pPr>
              <w:ind w:right="640"/>
              <w:jc w:val="center"/>
              <w:rPr>
                <w:rFonts w:ascii="仿宋" w:hAnsi="仿宋" w:eastAsia="仿宋" w:cs="Times New Roman"/>
                <w:sz w:val="32"/>
                <w:szCs w:val="32"/>
              </w:rPr>
            </w:pPr>
          </w:p>
        </w:tc>
        <w:tc>
          <w:tcPr>
            <w:tcW w:w="1846"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649" w:type="dxa"/>
          </w:tcPr>
          <w:p>
            <w:pPr>
              <w:ind w:right="640"/>
              <w:jc w:val="center"/>
              <w:rPr>
                <w:rFonts w:ascii="仿宋" w:hAnsi="仿宋" w:eastAsia="仿宋" w:cs="Times New Roman"/>
                <w:sz w:val="32"/>
                <w:szCs w:val="32"/>
              </w:rPr>
            </w:pPr>
          </w:p>
        </w:tc>
        <w:tc>
          <w:tcPr>
            <w:tcW w:w="1418" w:type="dxa"/>
          </w:tcPr>
          <w:p>
            <w:pPr>
              <w:ind w:right="640"/>
              <w:jc w:val="center"/>
              <w:rPr>
                <w:rFonts w:ascii="仿宋" w:hAnsi="仿宋" w:eastAsia="仿宋" w:cs="Times New Roman"/>
                <w:sz w:val="32"/>
                <w:szCs w:val="32"/>
              </w:rPr>
            </w:pPr>
          </w:p>
        </w:tc>
        <w:tc>
          <w:tcPr>
            <w:tcW w:w="3657"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840" w:type="dxa"/>
          </w:tcPr>
          <w:p>
            <w:pPr>
              <w:ind w:right="640"/>
              <w:jc w:val="center"/>
              <w:rPr>
                <w:rFonts w:ascii="仿宋" w:hAnsi="仿宋" w:eastAsia="仿宋" w:cs="Times New Roman"/>
                <w:sz w:val="32"/>
                <w:szCs w:val="32"/>
              </w:rPr>
            </w:pPr>
          </w:p>
        </w:tc>
        <w:tc>
          <w:tcPr>
            <w:tcW w:w="986" w:type="dxa"/>
          </w:tcPr>
          <w:p>
            <w:pPr>
              <w:ind w:right="640"/>
              <w:jc w:val="center"/>
              <w:rPr>
                <w:rFonts w:ascii="仿宋" w:hAnsi="仿宋" w:eastAsia="仿宋" w:cs="Times New Roman"/>
                <w:sz w:val="32"/>
                <w:szCs w:val="32"/>
              </w:rPr>
            </w:pPr>
          </w:p>
        </w:tc>
      </w:tr>
    </w:tbl>
    <w:p>
      <w:pPr>
        <w:ind w:right="640"/>
        <w:rPr>
          <w:rFonts w:ascii="仿宋" w:hAnsi="仿宋" w:eastAsia="仿宋" w:cs="Times New Roman"/>
          <w:sz w:val="24"/>
          <w:szCs w:val="24"/>
        </w:rPr>
      </w:pPr>
      <w:r>
        <w:rPr>
          <w:rFonts w:hint="eastAsia" w:ascii="仿宋" w:hAnsi="仿宋" w:eastAsia="仿宋" w:cs="Times New Roman"/>
          <w:sz w:val="24"/>
          <w:szCs w:val="24"/>
        </w:rPr>
        <w:t xml:space="preserve">注：此表由县级农机管理部门按机具类别填报                      </w: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3D"/>
    <w:rsid w:val="00034279"/>
    <w:rsid w:val="00103A61"/>
    <w:rsid w:val="00111549"/>
    <w:rsid w:val="001B2D61"/>
    <w:rsid w:val="00430F80"/>
    <w:rsid w:val="00622B3D"/>
    <w:rsid w:val="00883A40"/>
    <w:rsid w:val="00925364"/>
    <w:rsid w:val="009A6799"/>
    <w:rsid w:val="00AD52D1"/>
    <w:rsid w:val="00B05373"/>
    <w:rsid w:val="00C36ABA"/>
    <w:rsid w:val="00D54878"/>
    <w:rsid w:val="00EF5A40"/>
    <w:rsid w:val="00FB5C2D"/>
    <w:rsid w:val="5731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sz w:val="18"/>
      <w:szCs w:val="18"/>
    </w:rPr>
  </w:style>
  <w:style w:type="character" w:customStyle="1" w:styleId="8">
    <w:name w:val="页眉 Char"/>
    <w:basedOn w:val="5"/>
    <w:link w:val="3"/>
    <w:uiPriority w:val="0"/>
    <w:rPr>
      <w:sz w:val="18"/>
      <w:szCs w:val="18"/>
    </w:rPr>
  </w:style>
  <w:style w:type="character" w:customStyle="1" w:styleId="9">
    <w:name w:val="页眉 Char1"/>
    <w:basedOn w:val="5"/>
    <w:semiHidden/>
    <w:qFormat/>
    <w:uiPriority w:val="99"/>
    <w:rPr>
      <w:sz w:val="18"/>
      <w:szCs w:val="18"/>
    </w:rPr>
  </w:style>
  <w:style w:type="character" w:customStyle="1" w:styleId="10">
    <w:name w:val="页脚 Char1"/>
    <w:basedOn w:val="5"/>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368</Words>
  <Characters>2098</Characters>
  <Lines>17</Lines>
  <Paragraphs>4</Paragraphs>
  <TotalTime>49</TotalTime>
  <ScaleCrop>false</ScaleCrop>
  <LinksUpToDate>false</LinksUpToDate>
  <CharactersWithSpaces>2462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2020-11-02T02:35:00Z</dcterms:created>
  <dc:creator>qwe</dc:creator>
  <cp:lastModifiedBy>岁月静好</cp:lastModifiedBy>
  <dcterms:modified xsi:type="dcterms:W3CDTF">2020-11-16T02:30:02Z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