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sz w:val="44"/>
          <w:szCs w:val="44"/>
        </w:rPr>
        <w:t>201</w:t>
      </w:r>
      <w:r>
        <w:rPr>
          <w:rFonts w:hint="eastAsia"/>
          <w:sz w:val="44"/>
          <w:szCs w:val="44"/>
          <w:lang w:val="en-US" w:eastAsia="zh-CN"/>
        </w:rPr>
        <w:t>9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eastAsia="zh-CN"/>
        </w:rPr>
        <w:t>滑县农机购置补贴总结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年，上级下达我县中央财政农机购置补贴资金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3617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2018年剩余资金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265.293万元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，共计可使用资金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3882.293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万元。2019年</w:t>
      </w:r>
      <w:r>
        <w:rPr>
          <w:rFonts w:hint="eastAsia" w:ascii="仿宋" w:hAnsi="仿宋" w:eastAsia="仿宋" w:cs="仿宋"/>
          <w:sz w:val="32"/>
          <w:szCs w:val="32"/>
        </w:rPr>
        <w:t>滑县农机购置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补贴机具总台数为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1670台，其中被封闭机具26台，已结算机具1644台。受益农户1428户。其中轮式拖拉机476台；自走轮式谷物联合收割机165台；玉米收获专用割台14台；自走式玉米收获机125台，</w:t>
      </w:r>
      <w:r>
        <w:rPr>
          <w:rFonts w:hint="eastAsia" w:ascii="仿宋" w:hAnsi="仿宋" w:eastAsia="仿宋" w:cs="仿宋"/>
          <w:sz w:val="32"/>
          <w:szCs w:val="32"/>
        </w:rPr>
        <w:t>打（压）捆机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台；孵化机5台；花生收获机311台；花生摘果机14台；铧式犁38台；秸秆粉碎还田机148台；各类播种机153台；农业用北斗终端（含渔船用）1台；平地机1台；喷杆喷雾机13台；薯类收获机7台；田园管理机32台；旋耕机139台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使用资金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3701.541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万元。 剩余资金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180.752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万元。资金兑付率为95.34%。2019年省级累加补贴资金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整合201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年结余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资金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4.734万元，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共计省资金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209.734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万元。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航空器补贴使用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省级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资金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26.3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万元，累加补贴共补贴花生收获机95台，使用省级资金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175.477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万元。剩余资金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7.957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资金兑付率为96.21%。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973B4"/>
    <w:rsid w:val="03FA6547"/>
    <w:rsid w:val="09511C41"/>
    <w:rsid w:val="09A558AC"/>
    <w:rsid w:val="0BEF1133"/>
    <w:rsid w:val="15656441"/>
    <w:rsid w:val="174F3500"/>
    <w:rsid w:val="17563781"/>
    <w:rsid w:val="17C81615"/>
    <w:rsid w:val="19F70CC4"/>
    <w:rsid w:val="1CBF6F43"/>
    <w:rsid w:val="1D2B32BD"/>
    <w:rsid w:val="1DFA437F"/>
    <w:rsid w:val="1F90532C"/>
    <w:rsid w:val="24332A2C"/>
    <w:rsid w:val="25D54FB2"/>
    <w:rsid w:val="2C95578D"/>
    <w:rsid w:val="2F075F43"/>
    <w:rsid w:val="34EA6DDC"/>
    <w:rsid w:val="393E63D1"/>
    <w:rsid w:val="3BCB514F"/>
    <w:rsid w:val="423973B4"/>
    <w:rsid w:val="42E102DD"/>
    <w:rsid w:val="46E40993"/>
    <w:rsid w:val="4B0F3531"/>
    <w:rsid w:val="4E0602B0"/>
    <w:rsid w:val="4F0179CE"/>
    <w:rsid w:val="50FE65AC"/>
    <w:rsid w:val="567F48E2"/>
    <w:rsid w:val="60336848"/>
    <w:rsid w:val="612F0146"/>
    <w:rsid w:val="6324360F"/>
    <w:rsid w:val="643A2B54"/>
    <w:rsid w:val="6A2E2918"/>
    <w:rsid w:val="6D096C2A"/>
    <w:rsid w:val="725D5411"/>
    <w:rsid w:val="72F00585"/>
    <w:rsid w:val="744A00F6"/>
    <w:rsid w:val="77CB0040"/>
    <w:rsid w:val="77EC51D9"/>
    <w:rsid w:val="78AB1988"/>
    <w:rsid w:val="78EF08BB"/>
    <w:rsid w:val="7C264EDB"/>
    <w:rsid w:val="7F4D01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2016-11-14T08:47:00Z</dcterms:created>
  <dc:creator>Administrator</dc:creator>
  <cp:lastModifiedBy>Administrator</cp:lastModifiedBy>
  <cp:lastPrinted>2017-08-02T01:17:00Z</cp:lastPrinted>
  <dcterms:modified xsi:type="dcterms:W3CDTF">2020-01-21T03:05:26Z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