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仿宋_GB2312" w:hAnsi="仿宋"/>
          <w:sz w:val="32"/>
          <w:szCs w:val="32"/>
        </w:rPr>
      </w:pPr>
      <w:r>
        <w:rPr>
          <w:rFonts w:ascii="仿宋_GB2312" w:hAnsi="仿宋_GB2312"/>
          <w:sz w:val="32"/>
          <w:szCs w:val="32"/>
        </w:rPr>
        <w:t>附件</w:t>
      </w:r>
      <w:r>
        <w:rPr>
          <w:rFonts w:ascii="仿宋_GB2312" w:hAnsi="仿宋"/>
          <w:sz w:val="32"/>
          <w:szCs w:val="32"/>
        </w:rPr>
        <w:t>1</w:t>
      </w:r>
    </w:p>
    <w:p>
      <w:pPr>
        <w:spacing w:line="600" w:lineRule="exact"/>
        <w:jc w:val="center"/>
        <w:rPr>
          <w:rFonts w:ascii="方正小标宋简体" w:hAnsi="仿宋"/>
          <w:sz w:val="44"/>
          <w:szCs w:val="44"/>
        </w:rPr>
      </w:pPr>
      <w:r>
        <w:rPr>
          <w:rFonts w:ascii="方正小标宋简体" w:hAnsi="方正小标宋简体"/>
          <w:sz w:val="44"/>
          <w:szCs w:val="44"/>
        </w:rPr>
        <w:t>河南省</w:t>
      </w:r>
      <w:r>
        <w:rPr>
          <w:rFonts w:ascii="方正小标宋简体" w:hAnsi="仿宋"/>
          <w:sz w:val="44"/>
          <w:szCs w:val="44"/>
        </w:rPr>
        <w:t>2019年农业机械购置累加补贴方案</w:t>
      </w:r>
    </w:p>
    <w:p>
      <w:pPr>
        <w:spacing w:line="600" w:lineRule="exact"/>
        <w:jc w:val="center"/>
        <w:rPr>
          <w:rFonts w:ascii="仿宋_GB2312" w:hAnsi="仿宋"/>
          <w:sz w:val="32"/>
          <w:szCs w:val="32"/>
        </w:rPr>
      </w:pPr>
      <w:r>
        <w:rPr>
          <w:rFonts w:ascii="仿宋_GB2312" w:hAnsi="仿宋"/>
          <w:sz w:val="32"/>
          <w:szCs w:val="32"/>
        </w:rPr>
        <w:t xml:space="preserve"> </w:t>
      </w:r>
    </w:p>
    <w:p>
      <w:pPr>
        <w:pStyle w:val="2"/>
        <w:shd w:val="clear" w:color="auto" w:fill="FFFFFF"/>
        <w:spacing w:before="0" w:beforeAutospacing="0" w:after="0" w:afterAutospacing="0" w:line="360" w:lineRule="auto"/>
        <w:ind w:firstLine="640" w:firstLineChars="200"/>
        <w:rPr>
          <w:rFonts w:ascii="仿宋_GB2312"/>
          <w:color w:val="333333"/>
          <w:sz w:val="32"/>
          <w:szCs w:val="32"/>
        </w:rPr>
      </w:pPr>
      <w:r>
        <w:rPr>
          <w:rFonts w:ascii="仿宋_GB2312" w:hAnsi="仿宋_GB2312"/>
          <w:sz w:val="32"/>
          <w:szCs w:val="32"/>
        </w:rPr>
        <w:t>为贯彻落实《国务院关于加快推进农业机械化和农机装备产业转型升级的指导意见》（国发〔</w:t>
      </w:r>
      <w:r>
        <w:rPr>
          <w:rFonts w:ascii="仿宋_GB2312" w:hAnsi="仿宋"/>
          <w:sz w:val="32"/>
          <w:szCs w:val="32"/>
        </w:rPr>
        <w:t>2018〕42号）和省委十届九次全会决议精神，全面推进乡村振兴战略，2019年我省对购置特定农机具继续实行省级财政累加补贴政策。方案如下：</w:t>
      </w:r>
    </w:p>
    <w:p>
      <w:pPr>
        <w:pStyle w:val="2"/>
        <w:shd w:val="clear" w:color="auto" w:fill="FFFFFF"/>
        <w:spacing w:before="0" w:beforeAutospacing="0" w:after="0" w:afterAutospacing="0" w:line="360" w:lineRule="auto"/>
        <w:rPr>
          <w:color w:val="333333"/>
        </w:rPr>
      </w:pPr>
      <w:r>
        <w:rPr>
          <w:rFonts w:hint="eastAsia"/>
          <w:color w:val="333333"/>
        </w:rPr>
        <w:t xml:space="preserve"> </w:t>
      </w:r>
    </w:p>
    <w:p>
      <w:pPr>
        <w:spacing w:line="360" w:lineRule="auto"/>
        <w:ind w:firstLine="645"/>
        <w:rPr>
          <w:rFonts w:hint="eastAsia" w:ascii="黑体" w:hAnsi="黑体" w:eastAsia="黑体"/>
          <w:sz w:val="32"/>
          <w:szCs w:val="32"/>
        </w:rPr>
      </w:pPr>
      <w:r>
        <w:rPr>
          <w:rFonts w:hint="eastAsia" w:ascii="黑体" w:hAnsi="黑体" w:eastAsia="黑体"/>
          <w:sz w:val="32"/>
          <w:szCs w:val="32"/>
        </w:rPr>
        <w:t>一、指导思想</w:t>
      </w:r>
    </w:p>
    <w:p>
      <w:pPr>
        <w:spacing w:line="360" w:lineRule="auto"/>
        <w:ind w:firstLine="645"/>
        <w:rPr>
          <w:rFonts w:hint="eastAsia" w:ascii="仿宋_GB2312" w:hAnsi="仿宋"/>
          <w:sz w:val="32"/>
          <w:szCs w:val="32"/>
        </w:rPr>
      </w:pPr>
      <w:r>
        <w:rPr>
          <w:rFonts w:ascii="仿宋_GB2312" w:hAnsi="仿宋_GB2312"/>
          <w:sz w:val="32"/>
          <w:szCs w:val="32"/>
        </w:rPr>
        <w:t>深入贯彻落实《中共河南省委</w:t>
      </w:r>
      <w:r>
        <w:rPr>
          <w:rFonts w:ascii="仿宋_GB2312" w:hAnsi="仿宋"/>
          <w:sz w:val="32"/>
          <w:szCs w:val="32"/>
        </w:rPr>
        <w:t xml:space="preserve"> </w:t>
      </w:r>
      <w:r>
        <w:rPr>
          <w:rFonts w:ascii="仿宋_GB2312" w:hAnsi="仿宋_GB2312"/>
          <w:sz w:val="32"/>
          <w:szCs w:val="32"/>
        </w:rPr>
        <w:t>河南省人民政府关于推进乡村振兴战略的实施意见》和省委省政府</w:t>
      </w:r>
      <w:r>
        <w:rPr>
          <w:rFonts w:ascii="仿宋_GB2312" w:hAnsi="仿宋"/>
          <w:sz w:val="32"/>
          <w:szCs w:val="32"/>
        </w:rPr>
        <w:t>“四优四化”、高效种养业和绿色食品业转型升级的工作部署，</w:t>
      </w:r>
      <w:r>
        <w:rPr>
          <w:rFonts w:ascii="仿宋_GB2312" w:hAnsi="仿宋_GB2312"/>
          <w:sz w:val="32"/>
          <w:szCs w:val="32"/>
        </w:rPr>
        <w:t>以促进我省农业机械化、农业规模化和农机工业经营发展为主要目标，以优化农机装备结构，加快推进农业生产关键、薄弱环节发展，促进机械化信息化融合，确保粮食品质为主要任务，大力推广先进适用、技术成熟、安全可靠、节能环保、服务到位的累加补贴机具。最大限度发挥累加补贴政策的引导效应，进一步调动农民购买和使用累加补贴机具的积极性，推动我省</w:t>
      </w:r>
      <w:r>
        <w:rPr>
          <w:rFonts w:ascii="仿宋_GB2312" w:hAnsi="仿宋_GB2312" w:cs="黑体"/>
          <w:sz w:val="32"/>
          <w:szCs w:val="32"/>
        </w:rPr>
        <w:t>农业机械化</w:t>
      </w:r>
      <w:r>
        <w:rPr>
          <w:rFonts w:ascii="仿宋_GB2312" w:hAnsi="仿宋_GB2312"/>
          <w:sz w:val="32"/>
          <w:szCs w:val="32"/>
        </w:rPr>
        <w:t>全程全面高质高效发展。</w:t>
      </w:r>
    </w:p>
    <w:p>
      <w:pPr>
        <w:spacing w:line="360" w:lineRule="auto"/>
        <w:ind w:firstLine="645"/>
        <w:rPr>
          <w:rFonts w:ascii="黑体" w:hAnsi="黑体" w:eastAsia="黑体"/>
          <w:sz w:val="32"/>
          <w:szCs w:val="32"/>
        </w:rPr>
      </w:pPr>
      <w:r>
        <w:rPr>
          <w:rFonts w:hint="eastAsia" w:ascii="黑体" w:hAnsi="黑体" w:eastAsia="黑体"/>
          <w:sz w:val="32"/>
          <w:szCs w:val="32"/>
        </w:rPr>
        <w:t>二、主要目标</w:t>
      </w:r>
    </w:p>
    <w:p>
      <w:pPr>
        <w:spacing w:line="360" w:lineRule="auto"/>
        <w:ind w:firstLine="645"/>
        <w:rPr>
          <w:rFonts w:hint="eastAsia" w:ascii="仿宋_GB2312" w:hAnsi="仿宋"/>
          <w:sz w:val="32"/>
          <w:szCs w:val="32"/>
        </w:rPr>
      </w:pPr>
      <w:r>
        <w:rPr>
          <w:rFonts w:ascii="仿宋_GB2312" w:hAnsi="仿宋_GB2312"/>
          <w:sz w:val="32"/>
          <w:szCs w:val="32"/>
        </w:rPr>
        <w:t>（一）提高农机装备技术含量，增强农业综合生产能力。</w:t>
      </w:r>
    </w:p>
    <w:p>
      <w:pPr>
        <w:spacing w:line="360" w:lineRule="auto"/>
        <w:ind w:firstLine="645"/>
        <w:rPr>
          <w:rFonts w:ascii="仿宋_GB2312" w:hAnsi="仿宋"/>
          <w:sz w:val="32"/>
          <w:szCs w:val="32"/>
        </w:rPr>
      </w:pPr>
      <w:r>
        <w:rPr>
          <w:rFonts w:ascii="仿宋_GB2312" w:hAnsi="仿宋_GB2312"/>
          <w:sz w:val="32"/>
          <w:szCs w:val="32"/>
        </w:rPr>
        <w:t>（二）推进</w:t>
      </w:r>
      <w:r>
        <w:rPr>
          <w:rFonts w:ascii="仿宋_GB2312" w:hAnsi="仿宋"/>
          <w:sz w:val="32"/>
          <w:szCs w:val="32"/>
        </w:rPr>
        <w:t>“四优四化”，</w:t>
      </w:r>
      <w:r>
        <w:rPr>
          <w:rFonts w:ascii="仿宋_GB2312" w:hAnsi="仿宋_GB2312"/>
          <w:color w:val="000000"/>
          <w:sz w:val="32"/>
          <w:szCs w:val="32"/>
        </w:rPr>
        <w:t>助力农业供给侧</w:t>
      </w:r>
      <w:r>
        <w:rPr>
          <w:rFonts w:ascii="仿宋_GB2312" w:hAnsi="仿宋_GB2312"/>
          <w:sz w:val="32"/>
          <w:szCs w:val="32"/>
        </w:rPr>
        <w:t>结构性改革</w:t>
      </w:r>
      <w:r>
        <w:rPr>
          <w:rFonts w:ascii="仿宋_GB2312" w:hAnsi="仿宋_GB2312"/>
          <w:color w:val="000000"/>
          <w:sz w:val="32"/>
          <w:szCs w:val="32"/>
        </w:rPr>
        <w:t>。</w:t>
      </w:r>
    </w:p>
    <w:p>
      <w:pPr>
        <w:spacing w:line="360" w:lineRule="auto"/>
        <w:ind w:firstLine="645"/>
        <w:rPr>
          <w:rFonts w:ascii="仿宋_GB2312" w:hAnsi="仿宋"/>
          <w:sz w:val="32"/>
          <w:szCs w:val="32"/>
        </w:rPr>
      </w:pPr>
      <w:r>
        <w:rPr>
          <w:rFonts w:ascii="仿宋_GB2312" w:hAnsi="仿宋_GB2312"/>
          <w:sz w:val="32"/>
          <w:szCs w:val="32"/>
        </w:rPr>
        <w:t>（三）突破机械化薄弱环节制约，协调提升机械化水平。</w:t>
      </w:r>
    </w:p>
    <w:p>
      <w:pPr>
        <w:spacing w:line="360" w:lineRule="auto"/>
        <w:ind w:firstLine="645"/>
        <w:rPr>
          <w:rFonts w:ascii="仿宋_GB2312" w:hAnsi="仿宋"/>
          <w:sz w:val="32"/>
          <w:szCs w:val="32"/>
        </w:rPr>
      </w:pPr>
      <w:r>
        <w:rPr>
          <w:rFonts w:ascii="仿宋_GB2312" w:hAnsi="仿宋_GB2312"/>
          <w:sz w:val="32"/>
          <w:szCs w:val="32"/>
        </w:rPr>
        <w:t>（四）减轻不利天气对农业生产的影响，确保粮食品质，推进农业规模化经营。</w:t>
      </w:r>
    </w:p>
    <w:p>
      <w:pPr>
        <w:spacing w:line="360" w:lineRule="auto"/>
        <w:ind w:firstLine="645"/>
        <w:rPr>
          <w:rFonts w:ascii="仿宋_GB2312" w:hAnsi="仿宋"/>
          <w:sz w:val="32"/>
          <w:szCs w:val="32"/>
        </w:rPr>
      </w:pPr>
      <w:r>
        <w:rPr>
          <w:rFonts w:ascii="仿宋_GB2312" w:hAnsi="仿宋_GB2312"/>
          <w:sz w:val="32"/>
          <w:szCs w:val="32"/>
        </w:rPr>
        <w:t>（五）促进农作物秸秆利用机械化技术推广，有效节约秸秆资源。</w:t>
      </w:r>
    </w:p>
    <w:p>
      <w:pPr>
        <w:spacing w:line="360" w:lineRule="auto"/>
        <w:ind w:firstLine="645"/>
        <w:rPr>
          <w:rFonts w:ascii="仿宋_GB2312" w:hAnsi="仿宋"/>
          <w:sz w:val="32"/>
          <w:szCs w:val="32"/>
        </w:rPr>
      </w:pPr>
      <w:r>
        <w:rPr>
          <w:rFonts w:ascii="仿宋_GB2312" w:hAnsi="仿宋_GB2312"/>
          <w:sz w:val="32"/>
          <w:szCs w:val="32"/>
        </w:rPr>
        <w:t>（六）坚持绿色生态导向，支持环境生态保护。</w:t>
      </w:r>
    </w:p>
    <w:p>
      <w:pPr>
        <w:spacing w:line="360" w:lineRule="auto"/>
        <w:ind w:firstLine="645"/>
        <w:rPr>
          <w:rFonts w:ascii="仿宋_GB2312" w:hAnsi="仿宋"/>
          <w:sz w:val="32"/>
          <w:szCs w:val="32"/>
        </w:rPr>
      </w:pPr>
      <w:r>
        <w:rPr>
          <w:rFonts w:ascii="仿宋_GB2312" w:hAnsi="仿宋_GB2312"/>
          <w:sz w:val="32"/>
          <w:szCs w:val="32"/>
        </w:rPr>
        <w:t>（七）进一步调动农民购买和使用累加补贴机具的积极性。</w:t>
      </w:r>
    </w:p>
    <w:p>
      <w:pPr>
        <w:spacing w:line="360" w:lineRule="auto"/>
        <w:ind w:firstLine="645"/>
        <w:rPr>
          <w:rFonts w:ascii="黑体" w:hAnsi="黑体" w:eastAsia="黑体"/>
          <w:sz w:val="32"/>
          <w:szCs w:val="32"/>
        </w:rPr>
      </w:pPr>
      <w:r>
        <w:rPr>
          <w:rFonts w:hint="eastAsia" w:ascii="黑体" w:hAnsi="黑体" w:eastAsia="黑体"/>
          <w:sz w:val="32"/>
          <w:szCs w:val="32"/>
        </w:rPr>
        <w:t>三、实施范围</w:t>
      </w:r>
    </w:p>
    <w:p>
      <w:pPr>
        <w:autoSpaceDE w:val="0"/>
        <w:autoSpaceDN w:val="0"/>
        <w:adjustRightInd w:val="0"/>
        <w:spacing w:line="360" w:lineRule="auto"/>
        <w:ind w:firstLine="640" w:firstLineChars="200"/>
        <w:rPr>
          <w:rFonts w:hint="eastAsia" w:ascii="仿宋_GB2312" w:hAnsi="仿宋" w:cs="_GB2312"/>
          <w:kern w:val="0"/>
          <w:sz w:val="32"/>
          <w:szCs w:val="32"/>
        </w:rPr>
      </w:pPr>
      <w:r>
        <w:rPr>
          <w:rFonts w:ascii="仿宋_GB2312" w:hAnsi="仿宋_GB2312"/>
          <w:sz w:val="32"/>
          <w:szCs w:val="32"/>
        </w:rPr>
        <w:t>根据各地农业发展和购机需求，以及农机购置补贴政策实施情况，充分发挥累加补贴政策的引导效应，累加补贴政策实施区域按《河南省</w:t>
      </w:r>
      <w:r>
        <w:rPr>
          <w:rFonts w:ascii="仿宋_GB2312" w:hAnsi="仿宋"/>
          <w:sz w:val="32"/>
          <w:szCs w:val="32"/>
        </w:rPr>
        <w:t>2018-2020年农业机械购置补贴实施指导意见》（</w:t>
      </w:r>
      <w:r>
        <w:rPr>
          <w:rFonts w:ascii="仿宋_GB2312" w:hAnsi="仿宋_GB2312" w:cs="_GB2312"/>
          <w:kern w:val="0"/>
          <w:sz w:val="32"/>
          <w:szCs w:val="32"/>
        </w:rPr>
        <w:t>豫农机计文〔</w:t>
      </w:r>
      <w:r>
        <w:rPr>
          <w:rFonts w:ascii="仿宋_GB2312" w:hAnsi="仿宋" w:cs="_GB2312"/>
          <w:kern w:val="0"/>
          <w:sz w:val="32"/>
          <w:szCs w:val="32"/>
        </w:rPr>
        <w:t>2018〕29号</w:t>
      </w:r>
      <w:r>
        <w:rPr>
          <w:rFonts w:ascii="仿宋_GB2312" w:hAnsi="仿宋_GB2312"/>
          <w:sz w:val="32"/>
          <w:szCs w:val="32"/>
        </w:rPr>
        <w:t>）规定执行。</w:t>
      </w:r>
    </w:p>
    <w:p>
      <w:pPr>
        <w:spacing w:line="360" w:lineRule="auto"/>
        <w:ind w:firstLine="645"/>
        <w:rPr>
          <w:rFonts w:ascii="黑体" w:hAnsi="黑体" w:eastAsia="黑体"/>
          <w:sz w:val="32"/>
          <w:szCs w:val="32"/>
        </w:rPr>
      </w:pPr>
      <w:r>
        <w:rPr>
          <w:rFonts w:hint="eastAsia" w:ascii="黑体" w:hAnsi="黑体" w:eastAsia="黑体"/>
          <w:sz w:val="32"/>
          <w:szCs w:val="32"/>
        </w:rPr>
        <w:t>四、累加补贴对象、范围、标准和时限</w:t>
      </w:r>
    </w:p>
    <w:p>
      <w:pPr>
        <w:spacing w:line="360" w:lineRule="auto"/>
        <w:ind w:firstLine="645"/>
        <w:rPr>
          <w:rFonts w:hint="eastAsia" w:ascii="仿宋_GB2312" w:hAnsi="仿宋"/>
          <w:sz w:val="32"/>
          <w:szCs w:val="32"/>
        </w:rPr>
      </w:pPr>
      <w:r>
        <w:rPr>
          <w:rFonts w:ascii="楷体_GB2312" w:hAnsi="楷体_GB2312"/>
          <w:b/>
          <w:bCs/>
          <w:sz w:val="32"/>
          <w:szCs w:val="32"/>
        </w:rPr>
        <w:t>（一）累加补贴对象。</w:t>
      </w:r>
      <w:r>
        <w:rPr>
          <w:rFonts w:ascii="仿宋_GB2312" w:hAnsi="仿宋_GB2312" w:cs="宋体"/>
          <w:color w:val="000000"/>
          <w:kern w:val="0"/>
          <w:sz w:val="32"/>
          <w:szCs w:val="32"/>
        </w:rPr>
        <w:t>从事农业生产</w:t>
      </w:r>
      <w:r>
        <w:rPr>
          <w:rFonts w:ascii="仿宋_GB2312" w:hAnsi="仿宋_GB2312"/>
          <w:color w:val="000000"/>
          <w:sz w:val="32"/>
          <w:szCs w:val="32"/>
        </w:rPr>
        <w:t>并已获得国家农机购置补贴</w:t>
      </w:r>
      <w:r>
        <w:rPr>
          <w:rFonts w:ascii="仿宋_GB2312" w:hAnsi="仿宋_GB2312" w:cs="宋体"/>
          <w:color w:val="000000"/>
          <w:kern w:val="0"/>
          <w:sz w:val="32"/>
          <w:szCs w:val="32"/>
        </w:rPr>
        <w:t>的个人和农业生产经营组织（以下简称</w:t>
      </w:r>
      <w:r>
        <w:rPr>
          <w:rFonts w:ascii="仿宋_GB2312" w:hAnsi="仿宋" w:cs="宋体"/>
          <w:color w:val="000000"/>
          <w:kern w:val="0"/>
          <w:sz w:val="32"/>
          <w:szCs w:val="32"/>
        </w:rPr>
        <w:t>“购机者”），其中农业生产经营组织包括农村集体经济组织、农民专业合作经济组织、农业企业和其他从事农业生产经营的组织</w:t>
      </w:r>
      <w:r>
        <w:rPr>
          <w:rFonts w:ascii="仿宋_GB2312" w:hAnsi="仿宋_GB2312"/>
          <w:sz w:val="32"/>
          <w:szCs w:val="32"/>
        </w:rPr>
        <w:t>。</w:t>
      </w:r>
      <w:r>
        <w:rPr>
          <w:rFonts w:ascii="仿宋_GB2312" w:hAnsi="仿宋_GB2312" w:cs="宋体"/>
          <w:color w:val="000000"/>
          <w:kern w:val="0"/>
          <w:sz w:val="32"/>
          <w:szCs w:val="32"/>
        </w:rPr>
        <w:t>各地可结合实际，设置购机者年度内享受累加补贴资金总额的上限及其申请条件等。</w:t>
      </w:r>
    </w:p>
    <w:p>
      <w:pPr>
        <w:spacing w:line="360" w:lineRule="auto"/>
        <w:ind w:firstLine="645"/>
        <w:rPr>
          <w:rFonts w:ascii="仿宋_GB2312" w:hAnsi="仿宋"/>
          <w:sz w:val="32"/>
          <w:szCs w:val="32"/>
        </w:rPr>
      </w:pPr>
      <w:r>
        <w:rPr>
          <w:rFonts w:ascii="楷体_GB2312" w:hAnsi="楷体_GB2312"/>
          <w:b/>
          <w:bCs/>
          <w:sz w:val="32"/>
          <w:szCs w:val="32"/>
        </w:rPr>
        <w:t>（二）累加补贴范围。</w:t>
      </w:r>
      <w:r>
        <w:rPr>
          <w:rFonts w:ascii="仿宋_GB2312" w:hAnsi="仿宋_GB2312"/>
          <w:sz w:val="32"/>
          <w:szCs w:val="32"/>
        </w:rPr>
        <w:t>综合考虑我省农业和农业机械化发展方向和需求，累加补贴范围为购机对象按规定程序购买，且列入我省补贴范围的累加补贴机具。重点为</w:t>
      </w:r>
      <w:r>
        <w:rPr>
          <w:rFonts w:ascii="仿宋_GB2312" w:hAnsi="仿宋_GB2312"/>
          <w:b/>
          <w:bCs/>
          <w:sz w:val="32"/>
          <w:szCs w:val="32"/>
        </w:rPr>
        <w:t>深松机、水稻插秧机、花生收获机、打</w:t>
      </w:r>
      <w:r>
        <w:rPr>
          <w:rFonts w:ascii="仿宋_GB2312" w:hAnsi="仿宋"/>
          <w:b/>
          <w:bCs/>
          <w:sz w:val="32"/>
          <w:szCs w:val="32"/>
        </w:rPr>
        <w:t>(压)捆机</w:t>
      </w:r>
      <w:r>
        <w:rPr>
          <w:rFonts w:ascii="仿宋_GB2312" w:hAnsi="仿宋_GB2312"/>
          <w:b/>
          <w:bCs/>
          <w:sz w:val="32"/>
          <w:szCs w:val="32"/>
        </w:rPr>
        <w:t>、谷物烘干机、果蔬烘干机、粪污固液分离机、病死畜禽无害化处理设备、大型动力换挡</w:t>
      </w:r>
      <w:r>
        <w:rPr>
          <w:rFonts w:ascii="仿宋_GB2312" w:hAnsi="仿宋"/>
          <w:b/>
          <w:bCs/>
          <w:sz w:val="32"/>
          <w:szCs w:val="32"/>
        </w:rPr>
        <w:t>/换向拖拉机、农业用北斗终端、</w:t>
      </w:r>
      <w:r>
        <w:rPr>
          <w:rFonts w:ascii="仿宋_GB2312" w:hAnsi="仿宋_GB2312" w:cs="黑体"/>
          <w:b/>
          <w:bCs/>
          <w:sz w:val="32"/>
          <w:szCs w:val="32"/>
        </w:rPr>
        <w:t>有机废弃物好氧发酵翻堆机、畜禽粪便发酵处理机、有机肥加工设备、有机废弃物干式厌氧发酵装置</w:t>
      </w:r>
      <w:r>
        <w:rPr>
          <w:rFonts w:ascii="仿宋_GB2312" w:hAnsi="仿宋_GB2312" w:cs="黑体"/>
          <w:sz w:val="32"/>
          <w:szCs w:val="32"/>
        </w:rPr>
        <w:t>等</w:t>
      </w:r>
      <w:r>
        <w:rPr>
          <w:rFonts w:ascii="仿宋_GB2312" w:hAnsi="仿宋_GB2312"/>
          <w:sz w:val="32"/>
          <w:szCs w:val="32"/>
        </w:rPr>
        <w:t>十四个品目机具。各县可根据资金规模、</w:t>
      </w:r>
      <w:r>
        <w:rPr>
          <w:rFonts w:ascii="仿宋_GB2312" w:hAnsi="仿宋_GB2312"/>
          <w:color w:val="000000"/>
          <w:sz w:val="32"/>
          <w:szCs w:val="32"/>
        </w:rPr>
        <w:t>当地农业生产实际需求</w:t>
      </w:r>
      <w:r>
        <w:rPr>
          <w:rFonts w:ascii="仿宋_GB2312" w:hAnsi="仿宋_GB2312"/>
          <w:sz w:val="32"/>
          <w:szCs w:val="32"/>
        </w:rPr>
        <w:t>以及农民购机意愿等情况，在河南省补贴机具种类范围内，另选择部分品目列入本地累加补贴范围（动力机械、谷物收获机械和玉米收获机械除外），具体由县级农机购置补贴领导小组确定。</w:t>
      </w:r>
    </w:p>
    <w:p>
      <w:pPr>
        <w:spacing w:line="360" w:lineRule="auto"/>
        <w:ind w:firstLine="643" w:firstLineChars="200"/>
        <w:rPr>
          <w:rFonts w:ascii="仿宋_GB2312" w:hAnsi="仿宋"/>
          <w:sz w:val="32"/>
          <w:szCs w:val="32"/>
        </w:rPr>
      </w:pPr>
      <w:r>
        <w:rPr>
          <w:rFonts w:ascii="楷体_GB2312" w:hAnsi="楷体_GB2312"/>
          <w:b/>
          <w:bCs/>
          <w:sz w:val="32"/>
          <w:szCs w:val="32"/>
        </w:rPr>
        <w:t>（三）累加补贴标准。</w:t>
      </w:r>
      <w:r>
        <w:rPr>
          <w:rFonts w:ascii="仿宋_GB2312" w:hAnsi="仿宋_GB2312"/>
          <w:sz w:val="32"/>
          <w:szCs w:val="32"/>
        </w:rPr>
        <w:t>累加补贴额度以《河南省</w:t>
      </w:r>
      <w:r>
        <w:rPr>
          <w:rFonts w:ascii="仿宋_GB2312" w:hAnsi="仿宋"/>
          <w:sz w:val="32"/>
          <w:szCs w:val="32"/>
        </w:rPr>
        <w:t>2018-2020年农机购置补贴机具补贴额一览表》</w:t>
      </w:r>
      <w:r>
        <w:rPr>
          <w:rFonts w:ascii="仿宋_GB2312" w:hAnsi="仿宋_GB2312"/>
          <w:sz w:val="32"/>
          <w:szCs w:val="32"/>
        </w:rPr>
        <w:t>（</w:t>
      </w:r>
      <w:r>
        <w:rPr>
          <w:rFonts w:ascii="仿宋_GB2312" w:hAnsi="仿宋"/>
          <w:sz w:val="32"/>
          <w:szCs w:val="32"/>
        </w:rPr>
        <w:t>2019年调整）规定的定额补</w:t>
      </w:r>
      <w:r>
        <w:rPr>
          <w:rFonts w:ascii="仿宋_GB2312" w:hAnsi="仿宋_GB2312"/>
          <w:sz w:val="32"/>
          <w:szCs w:val="32"/>
        </w:rPr>
        <w:t>贴标准为基础累加</w:t>
      </w:r>
      <w:r>
        <w:rPr>
          <w:rFonts w:ascii="仿宋_GB2312" w:hAnsi="黑体"/>
          <w:sz w:val="32"/>
          <w:szCs w:val="32"/>
        </w:rPr>
        <w:t>2/3，资金</w:t>
      </w:r>
      <w:r>
        <w:rPr>
          <w:rFonts w:ascii="仿宋_GB2312" w:hAnsi="仿宋_GB2312"/>
          <w:sz w:val="32"/>
          <w:szCs w:val="32"/>
        </w:rPr>
        <w:t>统一精确到十位。大型动力换挡</w:t>
      </w:r>
      <w:r>
        <w:rPr>
          <w:rFonts w:ascii="仿宋_GB2312" w:hAnsi="仿宋"/>
          <w:sz w:val="32"/>
          <w:szCs w:val="32"/>
        </w:rPr>
        <w:t>/换向拖拉机实行定额累加补贴，标准见附表1</w:t>
      </w:r>
      <w:r>
        <w:rPr>
          <w:rFonts w:ascii="仿宋_GB2312" w:hAnsi="仿宋_GB2312"/>
          <w:sz w:val="32"/>
          <w:szCs w:val="32"/>
        </w:rPr>
        <w:t>。各县选择新增的品目累加补贴标准参照上述标准执行。</w:t>
      </w:r>
    </w:p>
    <w:p>
      <w:pPr>
        <w:spacing w:line="360" w:lineRule="auto"/>
        <w:ind w:firstLine="643" w:firstLineChars="200"/>
        <w:rPr>
          <w:rFonts w:ascii="仿宋_GB2312" w:hAnsi="仿宋"/>
          <w:sz w:val="32"/>
          <w:szCs w:val="32"/>
        </w:rPr>
      </w:pPr>
      <w:r>
        <w:rPr>
          <w:rFonts w:ascii="楷体_GB2312" w:hAnsi="楷体_GB2312"/>
          <w:b/>
          <w:bCs/>
          <w:sz w:val="32"/>
          <w:szCs w:val="32"/>
        </w:rPr>
        <w:t>（四）累加补贴时限。</w:t>
      </w:r>
      <w:r>
        <w:rPr>
          <w:rFonts w:ascii="仿宋_GB2312" w:hAnsi="仿宋"/>
          <w:sz w:val="32"/>
          <w:szCs w:val="32"/>
        </w:rPr>
        <w:t>2019年度。</w:t>
      </w:r>
    </w:p>
    <w:p>
      <w:pPr>
        <w:spacing w:line="360" w:lineRule="auto"/>
        <w:ind w:firstLine="645"/>
        <w:rPr>
          <w:rFonts w:ascii="黑体" w:hAnsi="黑体" w:eastAsia="黑体"/>
          <w:sz w:val="32"/>
          <w:szCs w:val="32"/>
        </w:rPr>
      </w:pPr>
      <w:r>
        <w:rPr>
          <w:rFonts w:hint="eastAsia" w:ascii="黑体" w:hAnsi="黑体" w:eastAsia="黑体"/>
          <w:sz w:val="32"/>
          <w:szCs w:val="32"/>
        </w:rPr>
        <w:t>五、操作实施要求</w:t>
      </w:r>
    </w:p>
    <w:p>
      <w:pPr>
        <w:spacing w:line="360" w:lineRule="auto"/>
        <w:ind w:firstLine="643" w:firstLineChars="200"/>
        <w:rPr>
          <w:rFonts w:hint="eastAsia" w:ascii="仿宋_GB2312" w:hAnsi="仿宋"/>
          <w:sz w:val="32"/>
          <w:szCs w:val="32"/>
        </w:rPr>
      </w:pPr>
      <w:r>
        <w:rPr>
          <w:rFonts w:ascii="楷体_GB2312" w:hAnsi="楷体_GB2312"/>
          <w:b/>
          <w:bCs/>
          <w:sz w:val="32"/>
          <w:szCs w:val="32"/>
        </w:rPr>
        <w:t>（一）按时衔接操作。</w:t>
      </w:r>
      <w:r>
        <w:rPr>
          <w:rFonts w:ascii="仿宋_GB2312" w:hAnsi="仿宋_GB2312"/>
          <w:sz w:val="32"/>
          <w:szCs w:val="32"/>
        </w:rPr>
        <w:t>累加补贴政策要与农机购置补贴政策紧密结合，必须在按规定完成农机购置补贴程序的基础上，办理累加补贴登记核实手续。</w:t>
      </w:r>
    </w:p>
    <w:p>
      <w:pPr>
        <w:spacing w:line="360" w:lineRule="auto"/>
        <w:ind w:firstLine="643" w:firstLineChars="200"/>
        <w:rPr>
          <w:rFonts w:ascii="仿宋_GB2312" w:hAnsi="仿宋"/>
          <w:sz w:val="32"/>
          <w:szCs w:val="32"/>
        </w:rPr>
      </w:pPr>
      <w:r>
        <w:rPr>
          <w:rFonts w:ascii="楷体_GB2312" w:hAnsi="楷体_GB2312"/>
          <w:b/>
          <w:bCs/>
          <w:sz w:val="32"/>
          <w:szCs w:val="32"/>
        </w:rPr>
        <w:t>（二）累加补贴机具登记、核实。</w:t>
      </w:r>
      <w:r>
        <w:rPr>
          <w:rFonts w:ascii="仿宋_GB2312" w:hAnsi="仿宋_GB2312"/>
          <w:sz w:val="32"/>
          <w:szCs w:val="32"/>
        </w:rPr>
        <w:t>县级农机管理部门要根据农机购置补贴实施结果，认真审核补贴档案材料，对累加补贴对象进行登记，填写《</w:t>
      </w:r>
      <w:r>
        <w:rPr>
          <w:rFonts w:ascii="仿宋_GB2312" w:hAnsi="仿宋"/>
          <w:sz w:val="32"/>
          <w:szCs w:val="32"/>
        </w:rPr>
        <w:t>XX年农业机械累加补贴登记核实表》（附表2）。县级农机购置补贴领导小组要组织对登记的累加补贴机具进行验收并将验收结果进行公示。验收合格后，由累加补贴对象签字盖章（或手印），县级农机购置补贴领导小组提出验收意见。累加补贴对象和生产企业及经销商要积极配合县级农机购置补贴领导小组组织的累加补贴机具验收，否则经县级农机购置补贴领导小组研究决定，将取消购机者享受累加补贴资格和生产企业及经销商销售补贴产品资格。</w:t>
      </w:r>
    </w:p>
    <w:p>
      <w:pPr>
        <w:spacing w:line="360" w:lineRule="auto"/>
        <w:ind w:firstLine="643" w:firstLineChars="200"/>
        <w:rPr>
          <w:rFonts w:ascii="仿宋_GB2312" w:hAnsi="仿宋"/>
          <w:color w:val="FF0000"/>
          <w:sz w:val="32"/>
          <w:szCs w:val="32"/>
        </w:rPr>
      </w:pPr>
      <w:r>
        <w:rPr>
          <w:rFonts w:ascii="楷体_GB2312" w:hAnsi="楷体_GB2312"/>
          <w:b/>
          <w:bCs/>
          <w:sz w:val="32"/>
          <w:szCs w:val="32"/>
        </w:rPr>
        <w:t>（三）累加补贴资金支付。</w:t>
      </w:r>
      <w:r>
        <w:rPr>
          <w:rFonts w:ascii="仿宋_GB2312" w:hAnsi="仿宋_GB2312"/>
          <w:sz w:val="32"/>
          <w:szCs w:val="32"/>
        </w:rPr>
        <w:t>县级农机部门根据登记核实汇总表，提出累加补贴资金支付意见，由主要负责人签字并加盖公章，连同累加补贴登记核实表一份（原件）报同级财政部门，并对提供资料的准确性、合规性负责。县级财政部门根据农机部门提供的支付意见，将累加补贴资金拨付至购机者账户。各省辖市要及时汇总所辖县区登记核实表，留本级建档</w:t>
      </w:r>
      <w:r>
        <w:rPr>
          <w:rFonts w:ascii="仿宋_GB2312" w:hAnsi="仿宋_GB2312"/>
          <w:color w:val="000000"/>
          <w:sz w:val="32"/>
          <w:szCs w:val="32"/>
        </w:rPr>
        <w:t>备查</w:t>
      </w:r>
      <w:r>
        <w:rPr>
          <w:rFonts w:ascii="仿宋_GB2312" w:hAnsi="仿宋_GB2312"/>
          <w:sz w:val="32"/>
          <w:szCs w:val="32"/>
        </w:rPr>
        <w:t>。</w:t>
      </w:r>
    </w:p>
    <w:p>
      <w:pPr>
        <w:spacing w:line="360" w:lineRule="auto"/>
        <w:ind w:firstLine="640" w:firstLineChars="200"/>
        <w:rPr>
          <w:rFonts w:ascii="黑体" w:hAnsi="黑体" w:eastAsia="黑体"/>
          <w:sz w:val="32"/>
          <w:szCs w:val="32"/>
        </w:rPr>
      </w:pPr>
      <w:r>
        <w:rPr>
          <w:rFonts w:hint="eastAsia" w:ascii="黑体" w:hAnsi="黑体" w:eastAsia="黑体"/>
          <w:sz w:val="32"/>
          <w:szCs w:val="32"/>
        </w:rPr>
        <w:t>六、工作措施</w:t>
      </w:r>
    </w:p>
    <w:p>
      <w:pPr>
        <w:spacing w:line="360" w:lineRule="auto"/>
        <w:ind w:firstLine="640" w:firstLineChars="200"/>
        <w:rPr>
          <w:rFonts w:hint="eastAsia" w:ascii="仿宋_GB2312" w:hAnsi="仿宋"/>
          <w:sz w:val="32"/>
          <w:szCs w:val="32"/>
        </w:rPr>
      </w:pPr>
      <w:r>
        <w:rPr>
          <w:rFonts w:ascii="仿宋_GB2312" w:hAnsi="仿宋_GB2312"/>
          <w:sz w:val="32"/>
          <w:szCs w:val="32"/>
        </w:rPr>
        <w:t>各地要严格按照河南省农业机械管理局、河南省财政厅印发的《河南省</w:t>
      </w:r>
      <w:r>
        <w:rPr>
          <w:rFonts w:ascii="仿宋_GB2312" w:hAnsi="仿宋"/>
          <w:sz w:val="32"/>
          <w:szCs w:val="32"/>
        </w:rPr>
        <w:t>2018—2020年农业机械购置补贴实施指导意见》（</w:t>
      </w:r>
      <w:r>
        <w:rPr>
          <w:rFonts w:ascii="仿宋_GB2312" w:hAnsi="仿宋_GB2312" w:cs="_GB2312"/>
          <w:sz w:val="32"/>
          <w:szCs w:val="32"/>
        </w:rPr>
        <w:t>豫农机计文〔</w:t>
      </w:r>
      <w:r>
        <w:rPr>
          <w:rFonts w:ascii="仿宋_GB2312" w:hAnsi="仿宋" w:cs="_GB2312"/>
          <w:sz w:val="32"/>
          <w:szCs w:val="32"/>
        </w:rPr>
        <w:t>2018〕29号</w:t>
      </w:r>
      <w:r>
        <w:rPr>
          <w:rFonts w:ascii="仿宋_GB2312" w:hAnsi="仿宋_GB2312"/>
          <w:sz w:val="32"/>
          <w:szCs w:val="32"/>
        </w:rPr>
        <w:t>）要求，加强领导，密切配合，积极引导，科学调控，规范操作，严肃纪律，加强监管，确保累加补贴工作顺利实施。</w:t>
      </w:r>
    </w:p>
    <w:p>
      <w:pPr>
        <w:spacing w:line="360" w:lineRule="auto"/>
        <w:ind w:firstLine="640" w:firstLineChars="200"/>
        <w:rPr>
          <w:rFonts w:ascii="仿宋_GB2312" w:hAnsi="仿宋"/>
          <w:sz w:val="32"/>
          <w:szCs w:val="32"/>
        </w:rPr>
      </w:pPr>
      <w:r>
        <w:rPr>
          <w:rFonts w:ascii="仿宋_GB2312" w:hAnsi="仿宋_GB2312"/>
          <w:sz w:val="32"/>
          <w:szCs w:val="32"/>
        </w:rPr>
        <w:t>附表：</w:t>
      </w:r>
      <w:r>
        <w:rPr>
          <w:rFonts w:ascii="仿宋_GB2312" w:hAnsi="仿宋"/>
          <w:sz w:val="32"/>
          <w:szCs w:val="32"/>
        </w:rPr>
        <w:t>1.</w:t>
      </w:r>
      <w:r>
        <w:rPr>
          <w:rFonts w:ascii="仿宋_GB2312" w:hAnsi="仿宋_GB2312"/>
          <w:sz w:val="32"/>
          <w:szCs w:val="32"/>
        </w:rPr>
        <w:t>大型动力换挡</w:t>
      </w:r>
      <w:r>
        <w:rPr>
          <w:rFonts w:ascii="仿宋_GB2312" w:hAnsi="仿宋"/>
          <w:sz w:val="32"/>
          <w:szCs w:val="32"/>
        </w:rPr>
        <w:t>/换向拖拉机</w:t>
      </w:r>
      <w:r>
        <w:rPr>
          <w:rFonts w:ascii="仿宋_GB2312" w:hAnsi="仿宋_GB2312"/>
          <w:sz w:val="32"/>
          <w:szCs w:val="32"/>
        </w:rPr>
        <w:t>累加补贴标准</w:t>
      </w:r>
    </w:p>
    <w:p>
      <w:pPr>
        <w:spacing w:line="360" w:lineRule="auto"/>
        <w:ind w:firstLine="1600" w:firstLineChars="500"/>
        <w:rPr>
          <w:rFonts w:ascii="仿宋_GB2312" w:hAnsi="仿宋"/>
          <w:sz w:val="32"/>
          <w:szCs w:val="32"/>
        </w:rPr>
      </w:pPr>
      <w:r>
        <w:rPr>
          <w:rFonts w:ascii="仿宋_GB2312" w:hAnsi="仿宋"/>
          <w:sz w:val="32"/>
          <w:szCs w:val="32"/>
        </w:rPr>
        <w:t>2.XX年农业机械累加补贴登记核实表</w:t>
      </w:r>
    </w:p>
    <w:p>
      <w:pPr>
        <w:spacing w:line="360" w:lineRule="auto"/>
        <w:rPr>
          <w:rFonts w:ascii="仿宋_GB2312" w:hAnsi="仿宋"/>
          <w:sz w:val="32"/>
          <w:szCs w:val="32"/>
        </w:rPr>
      </w:pPr>
      <w:r>
        <w:rPr>
          <w:rFonts w:ascii="仿宋_GB2312" w:hAnsi="仿宋"/>
          <w:sz w:val="32"/>
          <w:szCs w:val="32"/>
        </w:rPr>
        <w:t xml:space="preserve"> </w:t>
      </w:r>
    </w:p>
    <w:p>
      <w:pPr>
        <w:spacing w:line="360" w:lineRule="auto"/>
        <w:rPr>
          <w:rFonts w:ascii="仿宋_GB2312" w:hAnsi="仿宋"/>
          <w:sz w:val="32"/>
          <w:szCs w:val="32"/>
        </w:rPr>
      </w:pPr>
      <w:r>
        <w:rPr>
          <w:rFonts w:ascii="仿宋_GB2312" w:hAnsi="仿宋"/>
          <w:sz w:val="32"/>
          <w:szCs w:val="32"/>
        </w:rPr>
        <w:t xml:space="preserve"> </w:t>
      </w:r>
    </w:p>
    <w:p>
      <w:pPr>
        <w:spacing w:line="360" w:lineRule="auto"/>
        <w:rPr>
          <w:rFonts w:ascii="仿宋_GB2312" w:hAnsi="仿宋"/>
          <w:sz w:val="32"/>
          <w:szCs w:val="32"/>
        </w:rPr>
      </w:pPr>
      <w:r>
        <w:rPr>
          <w:rFonts w:ascii="仿宋_GB2312" w:hAnsi="仿宋_GB2312"/>
          <w:sz w:val="32"/>
          <w:szCs w:val="32"/>
        </w:rPr>
        <w:t>附表</w:t>
      </w:r>
      <w:r>
        <w:rPr>
          <w:rFonts w:ascii="仿宋_GB2312" w:hAnsi="仿宋"/>
          <w:sz w:val="32"/>
          <w:szCs w:val="32"/>
        </w:rPr>
        <w:t>1：</w:t>
      </w:r>
    </w:p>
    <w:p>
      <w:pPr>
        <w:spacing w:line="360" w:lineRule="auto"/>
        <w:jc w:val="center"/>
        <w:rPr>
          <w:rFonts w:ascii="仿宋_GB2312" w:hAnsi="仿宋"/>
          <w:b/>
          <w:bCs/>
          <w:sz w:val="36"/>
          <w:szCs w:val="36"/>
        </w:rPr>
      </w:pPr>
      <w:r>
        <w:rPr>
          <w:rFonts w:hint="eastAsia" w:ascii="仿宋" w:hAnsi="仿宋" w:eastAsia="仿宋"/>
          <w:b/>
          <w:bCs/>
          <w:sz w:val="36"/>
          <w:szCs w:val="36"/>
        </w:rPr>
        <w:t>大型动力换挡/换向拖拉机</w:t>
      </w:r>
      <w:r>
        <w:rPr>
          <w:rFonts w:ascii="仿宋_GB2312" w:hAnsi="仿宋_GB2312"/>
          <w:b/>
          <w:bCs/>
          <w:sz w:val="36"/>
          <w:szCs w:val="36"/>
        </w:rPr>
        <w:t>累加补贴标准</w:t>
      </w:r>
    </w:p>
    <w:p>
      <w:pPr>
        <w:spacing w:line="360" w:lineRule="auto"/>
        <w:rPr>
          <w:rFonts w:ascii="仿宋_GB2312" w:hAnsi="仿宋"/>
          <w:sz w:val="32"/>
          <w:szCs w:val="32"/>
        </w:rPr>
      </w:pPr>
      <w:r>
        <w:rPr>
          <w:rFonts w:ascii="仿宋_GB2312" w:hAnsi="仿宋"/>
          <w:sz w:val="32"/>
          <w:szCs w:val="32"/>
        </w:rPr>
        <w:t xml:space="preserve"> </w:t>
      </w:r>
    </w:p>
    <w:tbl>
      <w:tblPr>
        <w:tblStyle w:val="4"/>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3"/>
        <w:gridCol w:w="3045"/>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833"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_GB2312" w:hAnsi="仿宋"/>
                <w:b/>
                <w:bCs/>
                <w:sz w:val="32"/>
                <w:szCs w:val="32"/>
              </w:rPr>
            </w:pPr>
            <w:r>
              <w:rPr>
                <w:rFonts w:ascii="仿宋_GB2312" w:hAnsi="仿宋"/>
                <w:b/>
                <w:bCs/>
                <w:sz w:val="32"/>
                <w:szCs w:val="32"/>
              </w:rPr>
              <w:t>分档名称</w:t>
            </w:r>
          </w:p>
        </w:tc>
        <w:tc>
          <w:tcPr>
            <w:tcW w:w="3045" w:type="dxa"/>
            <w:tcBorders>
              <w:top w:val="single" w:color="auto" w:sz="4" w:space="0"/>
              <w:left w:val="nil"/>
              <w:bottom w:val="single" w:color="auto" w:sz="4" w:space="0"/>
              <w:right w:val="single" w:color="auto" w:sz="4" w:space="0"/>
            </w:tcBorders>
            <w:vAlign w:val="bottom"/>
          </w:tcPr>
          <w:p>
            <w:pPr>
              <w:spacing w:line="360" w:lineRule="auto"/>
              <w:jc w:val="center"/>
              <w:rPr>
                <w:rFonts w:ascii="仿宋_GB2312" w:hAnsi="仿宋"/>
                <w:b/>
                <w:bCs/>
                <w:sz w:val="32"/>
                <w:szCs w:val="32"/>
              </w:rPr>
            </w:pPr>
            <w:r>
              <w:rPr>
                <w:rFonts w:ascii="仿宋_GB2312" w:hAnsi="仿宋"/>
                <w:b/>
                <w:bCs/>
                <w:sz w:val="32"/>
                <w:szCs w:val="32"/>
              </w:rPr>
              <w:t>累加补贴额（元）</w:t>
            </w:r>
          </w:p>
        </w:tc>
        <w:tc>
          <w:tcPr>
            <w:tcW w:w="1068" w:type="dxa"/>
            <w:tcBorders>
              <w:top w:val="single" w:color="auto" w:sz="4" w:space="0"/>
              <w:left w:val="nil"/>
              <w:bottom w:val="single" w:color="auto" w:sz="4" w:space="0"/>
              <w:right w:val="single" w:color="auto" w:sz="4" w:space="0"/>
            </w:tcBorders>
            <w:vAlign w:val="bottom"/>
          </w:tcPr>
          <w:p>
            <w:pPr>
              <w:spacing w:line="360" w:lineRule="auto"/>
              <w:jc w:val="center"/>
              <w:rPr>
                <w:rFonts w:ascii="仿宋_GB2312" w:hAnsi="仿宋"/>
                <w:b/>
                <w:bCs/>
                <w:sz w:val="32"/>
                <w:szCs w:val="32"/>
              </w:rPr>
            </w:pPr>
            <w:r>
              <w:rPr>
                <w:rFonts w:ascii="仿宋_GB2312" w:hAnsi="仿宋"/>
                <w:b/>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sz w:val="32"/>
                <w:szCs w:val="32"/>
              </w:rPr>
            </w:pPr>
            <w:r>
              <w:rPr>
                <w:rFonts w:ascii="仿宋_GB2312" w:hAnsi="仿宋"/>
                <w:sz w:val="32"/>
                <w:szCs w:val="32"/>
              </w:rPr>
              <w:t>80—90马力四轮驱动拖拉机</w:t>
            </w:r>
          </w:p>
          <w:p>
            <w:pPr>
              <w:spacing w:line="360" w:lineRule="auto"/>
              <w:jc w:val="center"/>
              <w:rPr>
                <w:rFonts w:ascii="仿宋_GB2312" w:hAnsi="仿宋"/>
                <w:sz w:val="32"/>
                <w:szCs w:val="32"/>
              </w:rPr>
            </w:pPr>
            <w:r>
              <w:rPr>
                <w:rFonts w:ascii="仿宋_GB2312" w:hAnsi="仿宋"/>
                <w:sz w:val="32"/>
                <w:szCs w:val="32"/>
              </w:rPr>
              <w:t>（动力换档、动力换向）</w:t>
            </w:r>
          </w:p>
        </w:tc>
        <w:tc>
          <w:tcPr>
            <w:tcW w:w="3045"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
                <w:sz w:val="32"/>
                <w:szCs w:val="32"/>
              </w:rPr>
            </w:pPr>
            <w:r>
              <w:rPr>
                <w:rFonts w:ascii="仿宋_GB2312" w:hAnsi="仿宋"/>
                <w:sz w:val="32"/>
                <w:szCs w:val="32"/>
              </w:rPr>
              <w:t>4000</w:t>
            </w:r>
          </w:p>
        </w:tc>
        <w:tc>
          <w:tcPr>
            <w:tcW w:w="106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sz w:val="32"/>
                <w:szCs w:val="32"/>
              </w:rPr>
            </w:pPr>
            <w:r>
              <w:rPr>
                <w:rFonts w:ascii="仿宋_GB2312" w:hAnsi="仿宋"/>
                <w:sz w:val="32"/>
                <w:szCs w:val="32"/>
              </w:rPr>
              <w:t>90—100马力四轮驱动拖拉机</w:t>
            </w:r>
          </w:p>
          <w:p>
            <w:pPr>
              <w:spacing w:line="360" w:lineRule="auto"/>
              <w:jc w:val="center"/>
              <w:rPr>
                <w:rFonts w:ascii="仿宋_GB2312" w:hAnsi="仿宋"/>
                <w:sz w:val="32"/>
                <w:szCs w:val="32"/>
              </w:rPr>
            </w:pPr>
            <w:r>
              <w:rPr>
                <w:rFonts w:ascii="仿宋_GB2312" w:hAnsi="仿宋"/>
                <w:sz w:val="32"/>
                <w:szCs w:val="32"/>
              </w:rPr>
              <w:t>（动力换档、动力换向）</w:t>
            </w:r>
          </w:p>
        </w:tc>
        <w:tc>
          <w:tcPr>
            <w:tcW w:w="3045"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
                <w:sz w:val="32"/>
                <w:szCs w:val="32"/>
              </w:rPr>
            </w:pPr>
            <w:r>
              <w:rPr>
                <w:rFonts w:ascii="仿宋_GB2312" w:hAnsi="仿宋"/>
                <w:sz w:val="32"/>
                <w:szCs w:val="32"/>
              </w:rPr>
              <w:t>4600</w:t>
            </w:r>
          </w:p>
        </w:tc>
        <w:tc>
          <w:tcPr>
            <w:tcW w:w="106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sz w:val="32"/>
                <w:szCs w:val="32"/>
              </w:rPr>
            </w:pPr>
            <w:r>
              <w:rPr>
                <w:rFonts w:ascii="仿宋_GB2312" w:hAnsi="仿宋"/>
                <w:sz w:val="32"/>
                <w:szCs w:val="32"/>
              </w:rPr>
              <w:t>100—120马力四轮驱动拖拉机</w:t>
            </w:r>
          </w:p>
          <w:p>
            <w:pPr>
              <w:spacing w:line="360" w:lineRule="auto"/>
              <w:jc w:val="center"/>
              <w:rPr>
                <w:rFonts w:ascii="仿宋_GB2312" w:hAnsi="仿宋"/>
                <w:sz w:val="32"/>
                <w:szCs w:val="32"/>
              </w:rPr>
            </w:pPr>
            <w:r>
              <w:rPr>
                <w:rFonts w:ascii="仿宋_GB2312" w:hAnsi="仿宋"/>
                <w:sz w:val="32"/>
                <w:szCs w:val="32"/>
              </w:rPr>
              <w:t>（动力换档、动力换向）</w:t>
            </w:r>
          </w:p>
        </w:tc>
        <w:tc>
          <w:tcPr>
            <w:tcW w:w="3045"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
                <w:sz w:val="32"/>
                <w:szCs w:val="32"/>
              </w:rPr>
            </w:pPr>
            <w:r>
              <w:rPr>
                <w:rFonts w:ascii="仿宋_GB2312" w:hAnsi="仿宋"/>
                <w:sz w:val="32"/>
                <w:szCs w:val="32"/>
              </w:rPr>
              <w:t>4800</w:t>
            </w:r>
          </w:p>
        </w:tc>
        <w:tc>
          <w:tcPr>
            <w:tcW w:w="106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sz w:val="32"/>
                <w:szCs w:val="32"/>
              </w:rPr>
            </w:pPr>
            <w:r>
              <w:rPr>
                <w:rFonts w:ascii="仿宋_GB2312" w:hAnsi="仿宋"/>
                <w:sz w:val="32"/>
                <w:szCs w:val="32"/>
              </w:rPr>
              <w:t>120马力以上四轮驱动拖拉机</w:t>
            </w:r>
          </w:p>
          <w:p>
            <w:pPr>
              <w:spacing w:line="360" w:lineRule="auto"/>
              <w:jc w:val="center"/>
              <w:rPr>
                <w:rFonts w:ascii="仿宋_GB2312" w:hAnsi="仿宋"/>
                <w:sz w:val="32"/>
                <w:szCs w:val="32"/>
              </w:rPr>
            </w:pPr>
            <w:r>
              <w:rPr>
                <w:rFonts w:ascii="仿宋_GB2312" w:hAnsi="仿宋"/>
                <w:sz w:val="32"/>
                <w:szCs w:val="32"/>
              </w:rPr>
              <w:t>（动力换档、动力换向）</w:t>
            </w:r>
          </w:p>
        </w:tc>
        <w:tc>
          <w:tcPr>
            <w:tcW w:w="3045"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
                <w:sz w:val="32"/>
                <w:szCs w:val="32"/>
              </w:rPr>
            </w:pPr>
            <w:r>
              <w:rPr>
                <w:rFonts w:ascii="仿宋_GB2312" w:hAnsi="仿宋"/>
                <w:sz w:val="32"/>
                <w:szCs w:val="32"/>
              </w:rPr>
              <w:t>6200</w:t>
            </w:r>
          </w:p>
        </w:tc>
        <w:tc>
          <w:tcPr>
            <w:tcW w:w="106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
                <w:sz w:val="32"/>
                <w:szCs w:val="32"/>
              </w:rPr>
            </w:pPr>
          </w:p>
        </w:tc>
      </w:tr>
    </w:tbl>
    <w:p>
      <w:pPr>
        <w:widowControl/>
        <w:jc w:val="left"/>
        <w:rPr>
          <w:rFonts w:ascii="仿宋_GB2312" w:hAnsi="仿宋" w:cs="宋体"/>
          <w:sz w:val="32"/>
          <w:szCs w:val="32"/>
        </w:rPr>
        <w:sectPr>
          <w:pgSz w:w="11906" w:h="16838"/>
          <w:pgMar w:top="1440" w:right="1588" w:bottom="1440" w:left="1588" w:header="720" w:footer="720" w:gutter="0"/>
          <w:cols w:space="720" w:num="1"/>
          <w:docGrid w:type="lines" w:linePitch="312" w:charSpace="0"/>
        </w:sectPr>
      </w:pPr>
    </w:p>
    <w:p>
      <w:pPr>
        <w:rPr>
          <w:rFonts w:ascii="仿宋_GB2312" w:hAnsi="仿宋"/>
          <w:sz w:val="32"/>
          <w:szCs w:val="32"/>
        </w:rPr>
      </w:pPr>
      <w:bookmarkStart w:id="0" w:name="_GoBack"/>
      <w:r>
        <w:rPr>
          <w:rFonts w:ascii="仿宋_GB2312" w:hAnsi="仿宋_GB2312"/>
          <w:sz w:val="32"/>
          <w:szCs w:val="32"/>
        </w:rPr>
        <w:t>附表</w:t>
      </w:r>
      <w:r>
        <w:rPr>
          <w:rFonts w:ascii="仿宋_GB2312" w:hAnsi="仿宋"/>
          <w:sz w:val="32"/>
          <w:szCs w:val="32"/>
        </w:rPr>
        <w:t>2</w:t>
      </w:r>
    </w:p>
    <w:p>
      <w:pPr>
        <w:jc w:val="center"/>
        <w:rPr>
          <w:rFonts w:ascii="仿宋" w:hAnsi="仿宋" w:eastAsia="仿宋"/>
          <w:b/>
          <w:bCs/>
          <w:sz w:val="40"/>
          <w:szCs w:val="40"/>
        </w:rPr>
      </w:pPr>
      <w:r>
        <w:rPr>
          <w:rFonts w:hint="eastAsia" w:ascii="仿宋" w:hAnsi="仿宋" w:eastAsia="仿宋"/>
          <w:b/>
          <w:bCs/>
          <w:sz w:val="40"/>
          <w:szCs w:val="40"/>
        </w:rPr>
        <w:t>XX年农业机械累加补贴登记核实表</w:t>
      </w:r>
    </w:p>
    <w:p>
      <w:pPr>
        <w:jc w:val="center"/>
        <w:rPr>
          <w:rFonts w:hint="eastAsia" w:ascii="仿宋" w:hAnsi="仿宋" w:eastAsia="仿宋"/>
        </w:rPr>
      </w:pPr>
      <w:r>
        <w:rPr>
          <w:rFonts w:hint="eastAsia" w:ascii="仿宋" w:hAnsi="仿宋" w:eastAsia="仿宋"/>
        </w:rPr>
        <w:t xml:space="preserve"> </w:t>
      </w:r>
    </w:p>
    <w:p>
      <w:pPr>
        <w:rPr>
          <w:rFonts w:hint="eastAsia" w:ascii="仿宋" w:hAnsi="仿宋" w:eastAsia="仿宋"/>
          <w:sz w:val="24"/>
          <w:szCs w:val="24"/>
        </w:rPr>
      </w:pPr>
      <w:r>
        <w:rPr>
          <w:rFonts w:hint="eastAsia" w:ascii="仿宋" w:hAnsi="仿宋" w:eastAsia="仿宋"/>
          <w:sz w:val="24"/>
          <w:szCs w:val="24"/>
        </w:rPr>
        <w:t>填报单位（章）：                                                                     上报时间：     年   月   日</w:t>
      </w:r>
    </w:p>
    <w:tbl>
      <w:tblPr>
        <w:tblStyle w:val="4"/>
        <w:tblW w:w="136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9"/>
        <w:gridCol w:w="932"/>
        <w:gridCol w:w="1846"/>
        <w:gridCol w:w="1418"/>
        <w:gridCol w:w="649"/>
        <w:gridCol w:w="1418"/>
        <w:gridCol w:w="3657"/>
        <w:gridCol w:w="840"/>
        <w:gridCol w:w="840"/>
        <w:gridCol w:w="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8" w:hRule="atLeast"/>
          <w:jc w:val="center"/>
        </w:trPr>
        <w:tc>
          <w:tcPr>
            <w:tcW w:w="1049"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sz w:val="21"/>
                <w:szCs w:val="21"/>
              </w:rPr>
            </w:pPr>
            <w:r>
              <w:rPr>
                <w:rFonts w:hint="eastAsia" w:ascii="仿宋" w:hAnsi="仿宋" w:eastAsia="仿宋"/>
                <w:sz w:val="21"/>
                <w:szCs w:val="21"/>
              </w:rPr>
              <w:t>购买机具名称</w:t>
            </w:r>
          </w:p>
        </w:tc>
        <w:tc>
          <w:tcPr>
            <w:tcW w:w="932" w:type="dxa"/>
            <w:tcBorders>
              <w:top w:val="single" w:color="000000" w:sz="4" w:space="0"/>
              <w:left w:val="nil"/>
              <w:bottom w:val="single" w:color="000000" w:sz="4" w:space="0"/>
              <w:right w:val="single" w:color="000000" w:sz="4" w:space="0"/>
            </w:tcBorders>
            <w:vAlign w:val="center"/>
          </w:tcPr>
          <w:p>
            <w:pPr>
              <w:pStyle w:val="3"/>
              <w:rPr>
                <w:rFonts w:ascii="仿宋" w:hAnsi="仿宋" w:eastAsia="仿宋"/>
                <w:sz w:val="21"/>
                <w:szCs w:val="21"/>
              </w:rPr>
            </w:pPr>
            <w:r>
              <w:rPr>
                <w:rFonts w:hint="eastAsia" w:ascii="仿宋" w:hAnsi="仿宋" w:eastAsia="仿宋"/>
                <w:sz w:val="21"/>
                <w:szCs w:val="21"/>
              </w:rPr>
              <w:t>购买机具型号</w:t>
            </w:r>
          </w:p>
        </w:tc>
        <w:tc>
          <w:tcPr>
            <w:tcW w:w="1846" w:type="dxa"/>
            <w:tcBorders>
              <w:top w:val="single" w:color="000000" w:sz="4" w:space="0"/>
              <w:left w:val="nil"/>
              <w:bottom w:val="single" w:color="000000" w:sz="4" w:space="0"/>
              <w:right w:val="single" w:color="000000" w:sz="4" w:space="0"/>
            </w:tcBorders>
            <w:vAlign w:val="center"/>
          </w:tcPr>
          <w:p>
            <w:pPr>
              <w:pStyle w:val="3"/>
              <w:rPr>
                <w:rFonts w:ascii="仿宋" w:hAnsi="仿宋" w:eastAsia="仿宋"/>
                <w:sz w:val="21"/>
                <w:szCs w:val="21"/>
              </w:rPr>
            </w:pPr>
            <w:r>
              <w:rPr>
                <w:rFonts w:hint="eastAsia" w:ascii="仿宋" w:hAnsi="仿宋" w:eastAsia="仿宋"/>
                <w:sz w:val="21"/>
                <w:szCs w:val="21"/>
              </w:rPr>
              <w:t>机具生产厂家</w:t>
            </w:r>
          </w:p>
        </w:tc>
        <w:tc>
          <w:tcPr>
            <w:tcW w:w="1418" w:type="dxa"/>
            <w:tcBorders>
              <w:top w:val="single" w:color="000000" w:sz="4" w:space="0"/>
              <w:left w:val="nil"/>
              <w:bottom w:val="single" w:color="000000" w:sz="4" w:space="0"/>
              <w:right w:val="single" w:color="000000" w:sz="4" w:space="0"/>
            </w:tcBorders>
            <w:vAlign w:val="center"/>
          </w:tcPr>
          <w:p>
            <w:pPr>
              <w:pStyle w:val="3"/>
              <w:rPr>
                <w:rFonts w:ascii="仿宋" w:hAnsi="仿宋" w:eastAsia="仿宋"/>
                <w:sz w:val="21"/>
                <w:szCs w:val="21"/>
              </w:rPr>
            </w:pPr>
            <w:r>
              <w:rPr>
                <w:rFonts w:hint="eastAsia" w:ascii="仿宋" w:hAnsi="仿宋" w:eastAsia="仿宋"/>
                <w:sz w:val="21"/>
                <w:szCs w:val="21"/>
              </w:rPr>
              <w:t>购机者姓名（组织名称）</w:t>
            </w:r>
          </w:p>
        </w:tc>
        <w:tc>
          <w:tcPr>
            <w:tcW w:w="649" w:type="dxa"/>
            <w:tcBorders>
              <w:top w:val="single" w:color="000000" w:sz="4" w:space="0"/>
              <w:left w:val="nil"/>
              <w:bottom w:val="single" w:color="000000" w:sz="4" w:space="0"/>
              <w:right w:val="single" w:color="000000" w:sz="4" w:space="0"/>
            </w:tcBorders>
            <w:vAlign w:val="center"/>
          </w:tcPr>
          <w:p>
            <w:pPr>
              <w:pStyle w:val="3"/>
              <w:rPr>
                <w:rFonts w:ascii="仿宋" w:hAnsi="仿宋" w:eastAsia="仿宋"/>
                <w:sz w:val="21"/>
                <w:szCs w:val="21"/>
              </w:rPr>
            </w:pPr>
            <w:r>
              <w:rPr>
                <w:rFonts w:hint="eastAsia" w:ascii="仿宋" w:hAnsi="仿宋" w:eastAsia="仿宋"/>
                <w:sz w:val="21"/>
                <w:szCs w:val="21"/>
              </w:rPr>
              <w:t>购买台数</w:t>
            </w:r>
          </w:p>
        </w:tc>
        <w:tc>
          <w:tcPr>
            <w:tcW w:w="1418" w:type="dxa"/>
            <w:tcBorders>
              <w:top w:val="single" w:color="000000" w:sz="4" w:space="0"/>
              <w:left w:val="nil"/>
              <w:bottom w:val="single" w:color="000000" w:sz="4" w:space="0"/>
              <w:right w:val="single" w:color="000000" w:sz="4" w:space="0"/>
            </w:tcBorders>
            <w:vAlign w:val="center"/>
          </w:tcPr>
          <w:p>
            <w:pPr>
              <w:pStyle w:val="3"/>
              <w:spacing w:before="0"/>
              <w:rPr>
                <w:rFonts w:ascii="仿宋" w:hAnsi="仿宋" w:eastAsia="仿宋"/>
                <w:sz w:val="21"/>
                <w:szCs w:val="21"/>
              </w:rPr>
            </w:pPr>
            <w:r>
              <w:rPr>
                <w:rFonts w:hint="eastAsia" w:ascii="仿宋" w:hAnsi="仿宋" w:eastAsia="仿宋"/>
                <w:sz w:val="21"/>
                <w:szCs w:val="21"/>
              </w:rPr>
              <w:t>购机时间</w:t>
            </w:r>
          </w:p>
          <w:p>
            <w:pPr>
              <w:pStyle w:val="3"/>
              <w:rPr>
                <w:rFonts w:ascii="仿宋" w:hAnsi="仿宋" w:eastAsia="仿宋"/>
                <w:sz w:val="21"/>
                <w:szCs w:val="21"/>
              </w:rPr>
            </w:pPr>
            <w:r>
              <w:rPr>
                <w:rFonts w:hint="eastAsia" w:ascii="仿宋" w:hAnsi="仿宋" w:eastAsia="仿宋"/>
                <w:sz w:val="21"/>
                <w:szCs w:val="21"/>
              </w:rPr>
              <w:t>（年、月、日）</w:t>
            </w:r>
          </w:p>
        </w:tc>
        <w:tc>
          <w:tcPr>
            <w:tcW w:w="3657" w:type="dxa"/>
            <w:tcBorders>
              <w:top w:val="single" w:color="000000" w:sz="4" w:space="0"/>
              <w:left w:val="nil"/>
              <w:bottom w:val="single" w:color="000000" w:sz="4" w:space="0"/>
              <w:right w:val="single" w:color="000000" w:sz="4" w:space="0"/>
            </w:tcBorders>
            <w:vAlign w:val="center"/>
          </w:tcPr>
          <w:p>
            <w:pPr>
              <w:pStyle w:val="3"/>
              <w:rPr>
                <w:rFonts w:ascii="仿宋" w:hAnsi="仿宋" w:eastAsia="仿宋"/>
                <w:sz w:val="21"/>
                <w:szCs w:val="21"/>
              </w:rPr>
            </w:pPr>
            <w:r>
              <w:rPr>
                <w:rFonts w:hint="eastAsia" w:ascii="仿宋" w:hAnsi="仿宋" w:eastAsia="仿宋"/>
                <w:sz w:val="21"/>
                <w:szCs w:val="21"/>
              </w:rPr>
              <w:t>详细地址</w:t>
            </w:r>
          </w:p>
        </w:tc>
        <w:tc>
          <w:tcPr>
            <w:tcW w:w="840" w:type="dxa"/>
            <w:tcBorders>
              <w:top w:val="single" w:color="000000" w:sz="4" w:space="0"/>
              <w:left w:val="nil"/>
              <w:bottom w:val="single" w:color="000000" w:sz="4" w:space="0"/>
              <w:right w:val="single" w:color="000000" w:sz="4" w:space="0"/>
            </w:tcBorders>
            <w:vAlign w:val="center"/>
          </w:tcPr>
          <w:p>
            <w:pPr>
              <w:pStyle w:val="3"/>
              <w:rPr>
                <w:rFonts w:ascii="仿宋" w:hAnsi="仿宋" w:eastAsia="仿宋"/>
                <w:sz w:val="21"/>
                <w:szCs w:val="21"/>
              </w:rPr>
            </w:pPr>
            <w:r>
              <w:rPr>
                <w:rFonts w:hint="eastAsia" w:ascii="仿宋" w:hAnsi="仿宋" w:eastAsia="仿宋"/>
                <w:sz w:val="21"/>
                <w:szCs w:val="21"/>
              </w:rPr>
              <w:t>中央补贴金额（元）</w:t>
            </w:r>
          </w:p>
        </w:tc>
        <w:tc>
          <w:tcPr>
            <w:tcW w:w="840" w:type="dxa"/>
            <w:tcBorders>
              <w:top w:val="single" w:color="000000" w:sz="4" w:space="0"/>
              <w:left w:val="nil"/>
              <w:bottom w:val="single" w:color="000000" w:sz="4" w:space="0"/>
              <w:right w:val="single" w:color="000000" w:sz="4" w:space="0"/>
            </w:tcBorders>
            <w:vAlign w:val="center"/>
          </w:tcPr>
          <w:p>
            <w:pPr>
              <w:pStyle w:val="3"/>
              <w:rPr>
                <w:rFonts w:ascii="仿宋" w:hAnsi="仿宋" w:eastAsia="仿宋"/>
                <w:sz w:val="21"/>
                <w:szCs w:val="21"/>
              </w:rPr>
            </w:pPr>
            <w:r>
              <w:rPr>
                <w:rFonts w:hint="eastAsia" w:ascii="仿宋" w:hAnsi="仿宋" w:eastAsia="仿宋"/>
                <w:sz w:val="21"/>
                <w:szCs w:val="21"/>
              </w:rPr>
              <w:t>累加补贴金额（元）</w:t>
            </w:r>
          </w:p>
        </w:tc>
        <w:tc>
          <w:tcPr>
            <w:tcW w:w="986" w:type="dxa"/>
            <w:tcBorders>
              <w:top w:val="single" w:color="000000" w:sz="4" w:space="0"/>
              <w:left w:val="nil"/>
              <w:bottom w:val="single" w:color="000000" w:sz="4" w:space="0"/>
              <w:right w:val="single" w:color="000000" w:sz="4" w:space="0"/>
            </w:tcBorders>
            <w:vAlign w:val="center"/>
          </w:tcPr>
          <w:p>
            <w:pPr>
              <w:pStyle w:val="3"/>
              <w:rPr>
                <w:rFonts w:ascii="仿宋" w:hAnsi="仿宋" w:eastAsia="仿宋"/>
                <w:sz w:val="21"/>
                <w:szCs w:val="21"/>
              </w:rPr>
            </w:pPr>
            <w:r>
              <w:rPr>
                <w:rFonts w:hint="eastAsia" w:ascii="仿宋" w:hAnsi="仿宋" w:eastAsia="仿宋"/>
                <w:sz w:val="21"/>
                <w:szCs w:val="21"/>
              </w:rPr>
              <w:t>购机者签字、盖手印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1049" w:type="dxa"/>
            <w:tcBorders>
              <w:top w:val="single" w:color="000000" w:sz="4" w:space="0"/>
              <w:left w:val="single" w:color="000000" w:sz="4" w:space="0"/>
              <w:bottom w:val="single" w:color="000000" w:sz="4" w:space="0"/>
              <w:right w:val="single" w:color="000000" w:sz="4" w:space="0"/>
            </w:tcBorders>
          </w:tcPr>
          <w:p>
            <w:pPr>
              <w:ind w:right="640"/>
              <w:jc w:val="center"/>
              <w:rPr>
                <w:rFonts w:ascii="仿宋" w:hAnsi="仿宋" w:eastAsia="仿宋"/>
                <w:sz w:val="32"/>
                <w:szCs w:val="32"/>
              </w:rPr>
            </w:pPr>
          </w:p>
        </w:tc>
        <w:tc>
          <w:tcPr>
            <w:tcW w:w="932" w:type="dxa"/>
            <w:tcBorders>
              <w:top w:val="single" w:color="000000" w:sz="4" w:space="0"/>
              <w:left w:val="nil"/>
              <w:bottom w:val="single" w:color="000000" w:sz="4" w:space="0"/>
              <w:right w:val="single" w:color="000000" w:sz="4" w:space="0"/>
            </w:tcBorders>
          </w:tcPr>
          <w:p>
            <w:pPr>
              <w:ind w:right="640"/>
              <w:jc w:val="center"/>
              <w:rPr>
                <w:rFonts w:ascii="仿宋" w:hAnsi="仿宋" w:eastAsia="仿宋"/>
                <w:sz w:val="32"/>
                <w:szCs w:val="32"/>
              </w:rPr>
            </w:pPr>
          </w:p>
        </w:tc>
        <w:tc>
          <w:tcPr>
            <w:tcW w:w="1846" w:type="dxa"/>
            <w:tcBorders>
              <w:top w:val="single" w:color="000000" w:sz="4" w:space="0"/>
              <w:left w:val="nil"/>
              <w:bottom w:val="single" w:color="000000" w:sz="4" w:space="0"/>
              <w:right w:val="single" w:color="000000" w:sz="4" w:space="0"/>
            </w:tcBorders>
          </w:tcPr>
          <w:p>
            <w:pPr>
              <w:ind w:right="640"/>
              <w:jc w:val="center"/>
              <w:rPr>
                <w:rFonts w:ascii="仿宋" w:hAnsi="仿宋" w:eastAsia="仿宋"/>
                <w:sz w:val="32"/>
                <w:szCs w:val="32"/>
              </w:rPr>
            </w:pPr>
          </w:p>
        </w:tc>
        <w:tc>
          <w:tcPr>
            <w:tcW w:w="1418" w:type="dxa"/>
            <w:tcBorders>
              <w:top w:val="single" w:color="000000" w:sz="4" w:space="0"/>
              <w:left w:val="nil"/>
              <w:bottom w:val="single" w:color="000000" w:sz="4" w:space="0"/>
              <w:right w:val="single" w:color="000000" w:sz="4" w:space="0"/>
            </w:tcBorders>
          </w:tcPr>
          <w:p>
            <w:pPr>
              <w:ind w:right="640"/>
              <w:jc w:val="center"/>
              <w:rPr>
                <w:rFonts w:ascii="仿宋" w:hAnsi="仿宋" w:eastAsia="仿宋"/>
                <w:sz w:val="32"/>
                <w:szCs w:val="32"/>
              </w:rPr>
            </w:pPr>
          </w:p>
        </w:tc>
        <w:tc>
          <w:tcPr>
            <w:tcW w:w="649" w:type="dxa"/>
            <w:tcBorders>
              <w:top w:val="single" w:color="000000" w:sz="4" w:space="0"/>
              <w:left w:val="nil"/>
              <w:bottom w:val="single" w:color="000000" w:sz="4" w:space="0"/>
              <w:right w:val="single" w:color="000000" w:sz="4" w:space="0"/>
            </w:tcBorders>
          </w:tcPr>
          <w:p>
            <w:pPr>
              <w:ind w:right="640"/>
              <w:jc w:val="center"/>
              <w:rPr>
                <w:rFonts w:ascii="仿宋" w:hAnsi="仿宋" w:eastAsia="仿宋"/>
                <w:sz w:val="32"/>
                <w:szCs w:val="32"/>
              </w:rPr>
            </w:pPr>
          </w:p>
        </w:tc>
        <w:tc>
          <w:tcPr>
            <w:tcW w:w="1418" w:type="dxa"/>
            <w:tcBorders>
              <w:top w:val="single" w:color="000000" w:sz="4" w:space="0"/>
              <w:left w:val="nil"/>
              <w:bottom w:val="single" w:color="000000" w:sz="4" w:space="0"/>
              <w:right w:val="single" w:color="000000" w:sz="4" w:space="0"/>
            </w:tcBorders>
          </w:tcPr>
          <w:p>
            <w:pPr>
              <w:ind w:right="640"/>
              <w:jc w:val="center"/>
              <w:rPr>
                <w:rFonts w:ascii="仿宋" w:hAnsi="仿宋" w:eastAsia="仿宋"/>
                <w:sz w:val="32"/>
                <w:szCs w:val="32"/>
              </w:rPr>
            </w:pPr>
          </w:p>
        </w:tc>
        <w:tc>
          <w:tcPr>
            <w:tcW w:w="3657" w:type="dxa"/>
            <w:tcBorders>
              <w:top w:val="single" w:color="000000" w:sz="4" w:space="0"/>
              <w:left w:val="nil"/>
              <w:bottom w:val="single" w:color="000000" w:sz="4" w:space="0"/>
              <w:right w:val="single" w:color="000000" w:sz="4" w:space="0"/>
            </w:tcBorders>
          </w:tcPr>
          <w:p>
            <w:pPr>
              <w:ind w:right="640"/>
              <w:jc w:val="center"/>
              <w:rPr>
                <w:rFonts w:ascii="仿宋" w:hAnsi="仿宋" w:eastAsia="仿宋"/>
                <w:sz w:val="32"/>
                <w:szCs w:val="32"/>
              </w:rPr>
            </w:pPr>
          </w:p>
        </w:tc>
        <w:tc>
          <w:tcPr>
            <w:tcW w:w="840" w:type="dxa"/>
            <w:tcBorders>
              <w:top w:val="single" w:color="000000" w:sz="4" w:space="0"/>
              <w:left w:val="nil"/>
              <w:bottom w:val="single" w:color="000000" w:sz="4" w:space="0"/>
              <w:right w:val="single" w:color="000000" w:sz="4" w:space="0"/>
            </w:tcBorders>
          </w:tcPr>
          <w:p>
            <w:pPr>
              <w:ind w:right="640"/>
              <w:jc w:val="center"/>
              <w:rPr>
                <w:rFonts w:ascii="仿宋" w:hAnsi="仿宋" w:eastAsia="仿宋"/>
                <w:sz w:val="32"/>
                <w:szCs w:val="32"/>
              </w:rPr>
            </w:pPr>
          </w:p>
        </w:tc>
        <w:tc>
          <w:tcPr>
            <w:tcW w:w="840" w:type="dxa"/>
            <w:tcBorders>
              <w:top w:val="single" w:color="000000" w:sz="4" w:space="0"/>
              <w:left w:val="nil"/>
              <w:bottom w:val="single" w:color="000000" w:sz="4" w:space="0"/>
              <w:right w:val="single" w:color="000000" w:sz="4" w:space="0"/>
            </w:tcBorders>
          </w:tcPr>
          <w:p>
            <w:pPr>
              <w:ind w:right="640"/>
              <w:jc w:val="center"/>
              <w:rPr>
                <w:rFonts w:ascii="仿宋" w:hAnsi="仿宋" w:eastAsia="仿宋"/>
                <w:sz w:val="32"/>
                <w:szCs w:val="32"/>
              </w:rPr>
            </w:pPr>
          </w:p>
        </w:tc>
        <w:tc>
          <w:tcPr>
            <w:tcW w:w="986" w:type="dxa"/>
            <w:tcBorders>
              <w:top w:val="single" w:color="000000" w:sz="4" w:space="0"/>
              <w:left w:val="nil"/>
              <w:bottom w:val="single" w:color="000000" w:sz="4" w:space="0"/>
              <w:right w:val="single" w:color="000000" w:sz="4" w:space="0"/>
            </w:tcBorders>
          </w:tcPr>
          <w:p>
            <w:pPr>
              <w:ind w:right="640"/>
              <w:jc w:val="center"/>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jc w:val="center"/>
        </w:trPr>
        <w:tc>
          <w:tcPr>
            <w:tcW w:w="1049" w:type="dxa"/>
            <w:tcBorders>
              <w:top w:val="single" w:color="000000" w:sz="4" w:space="0"/>
              <w:left w:val="single" w:color="000000" w:sz="4" w:space="0"/>
              <w:bottom w:val="single" w:color="000000" w:sz="4" w:space="0"/>
              <w:right w:val="single" w:color="000000" w:sz="4" w:space="0"/>
            </w:tcBorders>
          </w:tcPr>
          <w:p>
            <w:pPr>
              <w:ind w:right="640"/>
              <w:jc w:val="center"/>
              <w:rPr>
                <w:rFonts w:ascii="仿宋" w:hAnsi="仿宋" w:eastAsia="仿宋"/>
                <w:sz w:val="32"/>
                <w:szCs w:val="32"/>
              </w:rPr>
            </w:pPr>
          </w:p>
        </w:tc>
        <w:tc>
          <w:tcPr>
            <w:tcW w:w="932" w:type="dxa"/>
            <w:tcBorders>
              <w:top w:val="single" w:color="000000" w:sz="4" w:space="0"/>
              <w:left w:val="nil"/>
              <w:bottom w:val="single" w:color="000000" w:sz="4" w:space="0"/>
              <w:right w:val="single" w:color="000000" w:sz="4" w:space="0"/>
            </w:tcBorders>
          </w:tcPr>
          <w:p>
            <w:pPr>
              <w:ind w:right="640"/>
              <w:jc w:val="center"/>
              <w:rPr>
                <w:rFonts w:ascii="仿宋" w:hAnsi="仿宋" w:eastAsia="仿宋"/>
                <w:sz w:val="32"/>
                <w:szCs w:val="32"/>
              </w:rPr>
            </w:pPr>
          </w:p>
        </w:tc>
        <w:tc>
          <w:tcPr>
            <w:tcW w:w="1846" w:type="dxa"/>
            <w:tcBorders>
              <w:top w:val="single" w:color="000000" w:sz="4" w:space="0"/>
              <w:left w:val="nil"/>
              <w:bottom w:val="single" w:color="000000" w:sz="4" w:space="0"/>
              <w:right w:val="single" w:color="000000" w:sz="4" w:space="0"/>
            </w:tcBorders>
          </w:tcPr>
          <w:p>
            <w:pPr>
              <w:ind w:right="640"/>
              <w:jc w:val="center"/>
              <w:rPr>
                <w:rFonts w:ascii="仿宋" w:hAnsi="仿宋" w:eastAsia="仿宋"/>
                <w:sz w:val="32"/>
                <w:szCs w:val="32"/>
              </w:rPr>
            </w:pPr>
          </w:p>
        </w:tc>
        <w:tc>
          <w:tcPr>
            <w:tcW w:w="1418" w:type="dxa"/>
            <w:tcBorders>
              <w:top w:val="single" w:color="000000" w:sz="4" w:space="0"/>
              <w:left w:val="nil"/>
              <w:bottom w:val="single" w:color="000000" w:sz="4" w:space="0"/>
              <w:right w:val="single" w:color="000000" w:sz="4" w:space="0"/>
            </w:tcBorders>
          </w:tcPr>
          <w:p>
            <w:pPr>
              <w:ind w:right="640"/>
              <w:jc w:val="center"/>
              <w:rPr>
                <w:rFonts w:ascii="仿宋" w:hAnsi="仿宋" w:eastAsia="仿宋"/>
                <w:sz w:val="32"/>
                <w:szCs w:val="32"/>
              </w:rPr>
            </w:pPr>
          </w:p>
        </w:tc>
        <w:tc>
          <w:tcPr>
            <w:tcW w:w="649" w:type="dxa"/>
            <w:tcBorders>
              <w:top w:val="single" w:color="000000" w:sz="4" w:space="0"/>
              <w:left w:val="nil"/>
              <w:bottom w:val="single" w:color="000000" w:sz="4" w:space="0"/>
              <w:right w:val="single" w:color="000000" w:sz="4" w:space="0"/>
            </w:tcBorders>
          </w:tcPr>
          <w:p>
            <w:pPr>
              <w:ind w:right="640"/>
              <w:jc w:val="center"/>
              <w:rPr>
                <w:rFonts w:ascii="仿宋" w:hAnsi="仿宋" w:eastAsia="仿宋"/>
                <w:sz w:val="32"/>
                <w:szCs w:val="32"/>
              </w:rPr>
            </w:pPr>
          </w:p>
        </w:tc>
        <w:tc>
          <w:tcPr>
            <w:tcW w:w="1418" w:type="dxa"/>
            <w:tcBorders>
              <w:top w:val="single" w:color="000000" w:sz="4" w:space="0"/>
              <w:left w:val="nil"/>
              <w:bottom w:val="single" w:color="000000" w:sz="4" w:space="0"/>
              <w:right w:val="single" w:color="000000" w:sz="4" w:space="0"/>
            </w:tcBorders>
          </w:tcPr>
          <w:p>
            <w:pPr>
              <w:ind w:right="640"/>
              <w:jc w:val="center"/>
              <w:rPr>
                <w:rFonts w:ascii="仿宋" w:hAnsi="仿宋" w:eastAsia="仿宋"/>
                <w:sz w:val="32"/>
                <w:szCs w:val="32"/>
              </w:rPr>
            </w:pPr>
          </w:p>
        </w:tc>
        <w:tc>
          <w:tcPr>
            <w:tcW w:w="3657" w:type="dxa"/>
            <w:tcBorders>
              <w:top w:val="single" w:color="000000" w:sz="4" w:space="0"/>
              <w:left w:val="nil"/>
              <w:bottom w:val="single" w:color="000000" w:sz="4" w:space="0"/>
              <w:right w:val="single" w:color="000000" w:sz="4" w:space="0"/>
            </w:tcBorders>
          </w:tcPr>
          <w:p>
            <w:pPr>
              <w:ind w:right="640"/>
              <w:jc w:val="center"/>
              <w:rPr>
                <w:rFonts w:ascii="仿宋" w:hAnsi="仿宋" w:eastAsia="仿宋"/>
                <w:sz w:val="32"/>
                <w:szCs w:val="32"/>
              </w:rPr>
            </w:pPr>
          </w:p>
        </w:tc>
        <w:tc>
          <w:tcPr>
            <w:tcW w:w="840" w:type="dxa"/>
            <w:tcBorders>
              <w:top w:val="single" w:color="000000" w:sz="4" w:space="0"/>
              <w:left w:val="nil"/>
              <w:bottom w:val="single" w:color="000000" w:sz="4" w:space="0"/>
              <w:right w:val="single" w:color="000000" w:sz="4" w:space="0"/>
            </w:tcBorders>
          </w:tcPr>
          <w:p>
            <w:pPr>
              <w:ind w:right="640"/>
              <w:jc w:val="center"/>
              <w:rPr>
                <w:rFonts w:ascii="仿宋" w:hAnsi="仿宋" w:eastAsia="仿宋"/>
                <w:sz w:val="32"/>
                <w:szCs w:val="32"/>
              </w:rPr>
            </w:pPr>
          </w:p>
        </w:tc>
        <w:tc>
          <w:tcPr>
            <w:tcW w:w="840" w:type="dxa"/>
            <w:tcBorders>
              <w:top w:val="single" w:color="000000" w:sz="4" w:space="0"/>
              <w:left w:val="nil"/>
              <w:bottom w:val="single" w:color="000000" w:sz="4" w:space="0"/>
              <w:right w:val="single" w:color="000000" w:sz="4" w:space="0"/>
            </w:tcBorders>
          </w:tcPr>
          <w:p>
            <w:pPr>
              <w:ind w:right="640"/>
              <w:jc w:val="center"/>
              <w:rPr>
                <w:rFonts w:ascii="仿宋" w:hAnsi="仿宋" w:eastAsia="仿宋"/>
                <w:sz w:val="32"/>
                <w:szCs w:val="32"/>
              </w:rPr>
            </w:pPr>
          </w:p>
        </w:tc>
        <w:tc>
          <w:tcPr>
            <w:tcW w:w="986" w:type="dxa"/>
            <w:tcBorders>
              <w:top w:val="single" w:color="000000" w:sz="4" w:space="0"/>
              <w:left w:val="nil"/>
              <w:bottom w:val="single" w:color="000000" w:sz="4" w:space="0"/>
              <w:right w:val="single" w:color="000000" w:sz="4" w:space="0"/>
            </w:tcBorders>
          </w:tcPr>
          <w:p>
            <w:pPr>
              <w:ind w:right="640"/>
              <w:jc w:val="center"/>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1049" w:type="dxa"/>
            <w:tcBorders>
              <w:top w:val="single" w:color="000000" w:sz="4" w:space="0"/>
              <w:left w:val="single" w:color="000000" w:sz="4" w:space="0"/>
              <w:bottom w:val="single" w:color="000000" w:sz="4" w:space="0"/>
              <w:right w:val="single" w:color="000000" w:sz="4" w:space="0"/>
            </w:tcBorders>
          </w:tcPr>
          <w:p>
            <w:pPr>
              <w:ind w:right="640"/>
              <w:jc w:val="center"/>
              <w:rPr>
                <w:rFonts w:ascii="仿宋" w:hAnsi="仿宋" w:eastAsia="仿宋"/>
                <w:sz w:val="32"/>
                <w:szCs w:val="32"/>
              </w:rPr>
            </w:pPr>
          </w:p>
        </w:tc>
        <w:tc>
          <w:tcPr>
            <w:tcW w:w="932" w:type="dxa"/>
            <w:tcBorders>
              <w:top w:val="single" w:color="000000" w:sz="4" w:space="0"/>
              <w:left w:val="nil"/>
              <w:bottom w:val="single" w:color="000000" w:sz="4" w:space="0"/>
              <w:right w:val="single" w:color="000000" w:sz="4" w:space="0"/>
            </w:tcBorders>
          </w:tcPr>
          <w:p>
            <w:pPr>
              <w:ind w:right="640"/>
              <w:jc w:val="center"/>
              <w:rPr>
                <w:rFonts w:ascii="仿宋" w:hAnsi="仿宋" w:eastAsia="仿宋"/>
                <w:sz w:val="32"/>
                <w:szCs w:val="32"/>
              </w:rPr>
            </w:pPr>
          </w:p>
        </w:tc>
        <w:tc>
          <w:tcPr>
            <w:tcW w:w="1846" w:type="dxa"/>
            <w:tcBorders>
              <w:top w:val="single" w:color="000000" w:sz="4" w:space="0"/>
              <w:left w:val="nil"/>
              <w:bottom w:val="single" w:color="000000" w:sz="4" w:space="0"/>
              <w:right w:val="single" w:color="000000" w:sz="4" w:space="0"/>
            </w:tcBorders>
          </w:tcPr>
          <w:p>
            <w:pPr>
              <w:ind w:right="640"/>
              <w:jc w:val="center"/>
              <w:rPr>
                <w:rFonts w:ascii="仿宋" w:hAnsi="仿宋" w:eastAsia="仿宋"/>
                <w:sz w:val="32"/>
                <w:szCs w:val="32"/>
              </w:rPr>
            </w:pPr>
          </w:p>
        </w:tc>
        <w:tc>
          <w:tcPr>
            <w:tcW w:w="1418" w:type="dxa"/>
            <w:tcBorders>
              <w:top w:val="single" w:color="000000" w:sz="4" w:space="0"/>
              <w:left w:val="nil"/>
              <w:bottom w:val="single" w:color="000000" w:sz="4" w:space="0"/>
              <w:right w:val="single" w:color="000000" w:sz="4" w:space="0"/>
            </w:tcBorders>
          </w:tcPr>
          <w:p>
            <w:pPr>
              <w:ind w:right="640"/>
              <w:jc w:val="center"/>
              <w:rPr>
                <w:rFonts w:ascii="仿宋" w:hAnsi="仿宋" w:eastAsia="仿宋"/>
                <w:sz w:val="32"/>
                <w:szCs w:val="32"/>
              </w:rPr>
            </w:pPr>
          </w:p>
        </w:tc>
        <w:tc>
          <w:tcPr>
            <w:tcW w:w="649" w:type="dxa"/>
            <w:tcBorders>
              <w:top w:val="single" w:color="000000" w:sz="4" w:space="0"/>
              <w:left w:val="nil"/>
              <w:bottom w:val="single" w:color="000000" w:sz="4" w:space="0"/>
              <w:right w:val="single" w:color="000000" w:sz="4" w:space="0"/>
            </w:tcBorders>
          </w:tcPr>
          <w:p>
            <w:pPr>
              <w:ind w:right="640"/>
              <w:jc w:val="center"/>
              <w:rPr>
                <w:rFonts w:ascii="仿宋" w:hAnsi="仿宋" w:eastAsia="仿宋"/>
                <w:sz w:val="32"/>
                <w:szCs w:val="32"/>
              </w:rPr>
            </w:pPr>
          </w:p>
        </w:tc>
        <w:tc>
          <w:tcPr>
            <w:tcW w:w="1418" w:type="dxa"/>
            <w:tcBorders>
              <w:top w:val="single" w:color="000000" w:sz="4" w:space="0"/>
              <w:left w:val="nil"/>
              <w:bottom w:val="single" w:color="000000" w:sz="4" w:space="0"/>
              <w:right w:val="single" w:color="000000" w:sz="4" w:space="0"/>
            </w:tcBorders>
          </w:tcPr>
          <w:p>
            <w:pPr>
              <w:ind w:right="640"/>
              <w:jc w:val="center"/>
              <w:rPr>
                <w:rFonts w:ascii="仿宋" w:hAnsi="仿宋" w:eastAsia="仿宋"/>
                <w:sz w:val="32"/>
                <w:szCs w:val="32"/>
              </w:rPr>
            </w:pPr>
          </w:p>
        </w:tc>
        <w:tc>
          <w:tcPr>
            <w:tcW w:w="3657" w:type="dxa"/>
            <w:tcBorders>
              <w:top w:val="single" w:color="000000" w:sz="4" w:space="0"/>
              <w:left w:val="nil"/>
              <w:bottom w:val="single" w:color="000000" w:sz="4" w:space="0"/>
              <w:right w:val="single" w:color="000000" w:sz="4" w:space="0"/>
            </w:tcBorders>
          </w:tcPr>
          <w:p>
            <w:pPr>
              <w:ind w:right="640"/>
              <w:jc w:val="center"/>
              <w:rPr>
                <w:rFonts w:ascii="仿宋" w:hAnsi="仿宋" w:eastAsia="仿宋"/>
                <w:sz w:val="32"/>
                <w:szCs w:val="32"/>
              </w:rPr>
            </w:pPr>
          </w:p>
        </w:tc>
        <w:tc>
          <w:tcPr>
            <w:tcW w:w="840" w:type="dxa"/>
            <w:tcBorders>
              <w:top w:val="single" w:color="000000" w:sz="4" w:space="0"/>
              <w:left w:val="nil"/>
              <w:bottom w:val="single" w:color="000000" w:sz="4" w:space="0"/>
              <w:right w:val="single" w:color="000000" w:sz="4" w:space="0"/>
            </w:tcBorders>
          </w:tcPr>
          <w:p>
            <w:pPr>
              <w:ind w:right="640"/>
              <w:jc w:val="center"/>
              <w:rPr>
                <w:rFonts w:ascii="仿宋" w:hAnsi="仿宋" w:eastAsia="仿宋"/>
                <w:sz w:val="32"/>
                <w:szCs w:val="32"/>
              </w:rPr>
            </w:pPr>
          </w:p>
        </w:tc>
        <w:tc>
          <w:tcPr>
            <w:tcW w:w="840" w:type="dxa"/>
            <w:tcBorders>
              <w:top w:val="single" w:color="000000" w:sz="4" w:space="0"/>
              <w:left w:val="nil"/>
              <w:bottom w:val="single" w:color="000000" w:sz="4" w:space="0"/>
              <w:right w:val="single" w:color="000000" w:sz="4" w:space="0"/>
            </w:tcBorders>
          </w:tcPr>
          <w:p>
            <w:pPr>
              <w:ind w:right="640"/>
              <w:jc w:val="center"/>
              <w:rPr>
                <w:rFonts w:ascii="仿宋" w:hAnsi="仿宋" w:eastAsia="仿宋"/>
                <w:sz w:val="32"/>
                <w:szCs w:val="32"/>
              </w:rPr>
            </w:pPr>
          </w:p>
        </w:tc>
        <w:tc>
          <w:tcPr>
            <w:tcW w:w="986" w:type="dxa"/>
            <w:tcBorders>
              <w:top w:val="single" w:color="000000" w:sz="4" w:space="0"/>
              <w:left w:val="nil"/>
              <w:bottom w:val="single" w:color="000000" w:sz="4" w:space="0"/>
              <w:right w:val="single" w:color="000000" w:sz="4" w:space="0"/>
            </w:tcBorders>
          </w:tcPr>
          <w:p>
            <w:pPr>
              <w:ind w:right="640"/>
              <w:jc w:val="center"/>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1049" w:type="dxa"/>
            <w:tcBorders>
              <w:top w:val="single" w:color="000000" w:sz="4" w:space="0"/>
              <w:left w:val="single" w:color="000000" w:sz="4" w:space="0"/>
              <w:bottom w:val="single" w:color="000000" w:sz="4" w:space="0"/>
              <w:right w:val="single" w:color="000000" w:sz="4" w:space="0"/>
            </w:tcBorders>
          </w:tcPr>
          <w:p>
            <w:pPr>
              <w:ind w:right="640"/>
              <w:jc w:val="center"/>
              <w:rPr>
                <w:rFonts w:ascii="仿宋" w:hAnsi="仿宋" w:eastAsia="仿宋"/>
                <w:sz w:val="32"/>
                <w:szCs w:val="32"/>
              </w:rPr>
            </w:pPr>
          </w:p>
        </w:tc>
        <w:tc>
          <w:tcPr>
            <w:tcW w:w="932" w:type="dxa"/>
            <w:tcBorders>
              <w:top w:val="single" w:color="000000" w:sz="4" w:space="0"/>
              <w:left w:val="nil"/>
              <w:bottom w:val="single" w:color="000000" w:sz="4" w:space="0"/>
              <w:right w:val="single" w:color="000000" w:sz="4" w:space="0"/>
            </w:tcBorders>
          </w:tcPr>
          <w:p>
            <w:pPr>
              <w:ind w:right="640"/>
              <w:jc w:val="center"/>
              <w:rPr>
                <w:rFonts w:ascii="仿宋" w:hAnsi="仿宋" w:eastAsia="仿宋"/>
                <w:sz w:val="32"/>
                <w:szCs w:val="32"/>
              </w:rPr>
            </w:pPr>
          </w:p>
        </w:tc>
        <w:tc>
          <w:tcPr>
            <w:tcW w:w="1846" w:type="dxa"/>
            <w:tcBorders>
              <w:top w:val="single" w:color="000000" w:sz="4" w:space="0"/>
              <w:left w:val="nil"/>
              <w:bottom w:val="single" w:color="000000" w:sz="4" w:space="0"/>
              <w:right w:val="single" w:color="000000" w:sz="4" w:space="0"/>
            </w:tcBorders>
          </w:tcPr>
          <w:p>
            <w:pPr>
              <w:ind w:right="640"/>
              <w:jc w:val="center"/>
              <w:rPr>
                <w:rFonts w:ascii="仿宋" w:hAnsi="仿宋" w:eastAsia="仿宋"/>
                <w:sz w:val="32"/>
                <w:szCs w:val="32"/>
              </w:rPr>
            </w:pPr>
          </w:p>
        </w:tc>
        <w:tc>
          <w:tcPr>
            <w:tcW w:w="1418" w:type="dxa"/>
            <w:tcBorders>
              <w:top w:val="single" w:color="000000" w:sz="4" w:space="0"/>
              <w:left w:val="nil"/>
              <w:bottom w:val="single" w:color="000000" w:sz="4" w:space="0"/>
              <w:right w:val="single" w:color="000000" w:sz="4" w:space="0"/>
            </w:tcBorders>
          </w:tcPr>
          <w:p>
            <w:pPr>
              <w:ind w:right="640"/>
              <w:jc w:val="center"/>
              <w:rPr>
                <w:rFonts w:ascii="仿宋" w:hAnsi="仿宋" w:eastAsia="仿宋"/>
                <w:sz w:val="32"/>
                <w:szCs w:val="32"/>
              </w:rPr>
            </w:pPr>
          </w:p>
        </w:tc>
        <w:tc>
          <w:tcPr>
            <w:tcW w:w="649" w:type="dxa"/>
            <w:tcBorders>
              <w:top w:val="single" w:color="000000" w:sz="4" w:space="0"/>
              <w:left w:val="nil"/>
              <w:bottom w:val="single" w:color="000000" w:sz="4" w:space="0"/>
              <w:right w:val="single" w:color="000000" w:sz="4" w:space="0"/>
            </w:tcBorders>
          </w:tcPr>
          <w:p>
            <w:pPr>
              <w:ind w:right="640"/>
              <w:jc w:val="center"/>
              <w:rPr>
                <w:rFonts w:ascii="仿宋" w:hAnsi="仿宋" w:eastAsia="仿宋"/>
                <w:sz w:val="32"/>
                <w:szCs w:val="32"/>
              </w:rPr>
            </w:pPr>
          </w:p>
        </w:tc>
        <w:tc>
          <w:tcPr>
            <w:tcW w:w="1418" w:type="dxa"/>
            <w:tcBorders>
              <w:top w:val="single" w:color="000000" w:sz="4" w:space="0"/>
              <w:left w:val="nil"/>
              <w:bottom w:val="single" w:color="000000" w:sz="4" w:space="0"/>
              <w:right w:val="single" w:color="000000" w:sz="4" w:space="0"/>
            </w:tcBorders>
          </w:tcPr>
          <w:p>
            <w:pPr>
              <w:ind w:right="640"/>
              <w:jc w:val="center"/>
              <w:rPr>
                <w:rFonts w:ascii="仿宋" w:hAnsi="仿宋" w:eastAsia="仿宋"/>
                <w:sz w:val="32"/>
                <w:szCs w:val="32"/>
              </w:rPr>
            </w:pPr>
          </w:p>
        </w:tc>
        <w:tc>
          <w:tcPr>
            <w:tcW w:w="3657" w:type="dxa"/>
            <w:tcBorders>
              <w:top w:val="single" w:color="000000" w:sz="4" w:space="0"/>
              <w:left w:val="nil"/>
              <w:bottom w:val="single" w:color="000000" w:sz="4" w:space="0"/>
              <w:right w:val="single" w:color="000000" w:sz="4" w:space="0"/>
            </w:tcBorders>
          </w:tcPr>
          <w:p>
            <w:pPr>
              <w:ind w:right="640"/>
              <w:jc w:val="center"/>
              <w:rPr>
                <w:rFonts w:ascii="仿宋" w:hAnsi="仿宋" w:eastAsia="仿宋"/>
                <w:sz w:val="32"/>
                <w:szCs w:val="32"/>
              </w:rPr>
            </w:pPr>
          </w:p>
        </w:tc>
        <w:tc>
          <w:tcPr>
            <w:tcW w:w="840" w:type="dxa"/>
            <w:tcBorders>
              <w:top w:val="single" w:color="000000" w:sz="4" w:space="0"/>
              <w:left w:val="nil"/>
              <w:bottom w:val="single" w:color="000000" w:sz="4" w:space="0"/>
              <w:right w:val="single" w:color="000000" w:sz="4" w:space="0"/>
            </w:tcBorders>
          </w:tcPr>
          <w:p>
            <w:pPr>
              <w:ind w:right="640"/>
              <w:jc w:val="center"/>
              <w:rPr>
                <w:rFonts w:ascii="仿宋" w:hAnsi="仿宋" w:eastAsia="仿宋"/>
                <w:sz w:val="32"/>
                <w:szCs w:val="32"/>
              </w:rPr>
            </w:pPr>
          </w:p>
        </w:tc>
        <w:tc>
          <w:tcPr>
            <w:tcW w:w="840" w:type="dxa"/>
            <w:tcBorders>
              <w:top w:val="single" w:color="000000" w:sz="4" w:space="0"/>
              <w:left w:val="nil"/>
              <w:bottom w:val="single" w:color="000000" w:sz="4" w:space="0"/>
              <w:right w:val="single" w:color="000000" w:sz="4" w:space="0"/>
            </w:tcBorders>
          </w:tcPr>
          <w:p>
            <w:pPr>
              <w:ind w:right="640"/>
              <w:jc w:val="center"/>
              <w:rPr>
                <w:rFonts w:ascii="仿宋" w:hAnsi="仿宋" w:eastAsia="仿宋"/>
                <w:sz w:val="32"/>
                <w:szCs w:val="32"/>
              </w:rPr>
            </w:pPr>
          </w:p>
        </w:tc>
        <w:tc>
          <w:tcPr>
            <w:tcW w:w="986" w:type="dxa"/>
            <w:tcBorders>
              <w:top w:val="single" w:color="000000" w:sz="4" w:space="0"/>
              <w:left w:val="nil"/>
              <w:bottom w:val="single" w:color="000000" w:sz="4" w:space="0"/>
              <w:right w:val="single" w:color="000000" w:sz="4" w:space="0"/>
            </w:tcBorders>
          </w:tcPr>
          <w:p>
            <w:pPr>
              <w:ind w:right="640"/>
              <w:jc w:val="center"/>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1049" w:type="dxa"/>
            <w:tcBorders>
              <w:top w:val="single" w:color="000000" w:sz="4" w:space="0"/>
              <w:left w:val="single" w:color="000000" w:sz="4" w:space="0"/>
              <w:bottom w:val="single" w:color="000000" w:sz="4" w:space="0"/>
              <w:right w:val="single" w:color="000000" w:sz="4" w:space="0"/>
            </w:tcBorders>
          </w:tcPr>
          <w:p>
            <w:pPr>
              <w:ind w:right="640"/>
              <w:jc w:val="center"/>
              <w:rPr>
                <w:rFonts w:ascii="仿宋" w:hAnsi="仿宋" w:eastAsia="仿宋"/>
                <w:sz w:val="32"/>
                <w:szCs w:val="32"/>
              </w:rPr>
            </w:pPr>
          </w:p>
        </w:tc>
        <w:tc>
          <w:tcPr>
            <w:tcW w:w="932" w:type="dxa"/>
            <w:tcBorders>
              <w:top w:val="single" w:color="000000" w:sz="4" w:space="0"/>
              <w:left w:val="nil"/>
              <w:bottom w:val="single" w:color="000000" w:sz="4" w:space="0"/>
              <w:right w:val="single" w:color="000000" w:sz="4" w:space="0"/>
            </w:tcBorders>
          </w:tcPr>
          <w:p>
            <w:pPr>
              <w:ind w:right="640"/>
              <w:jc w:val="center"/>
              <w:rPr>
                <w:rFonts w:ascii="仿宋" w:hAnsi="仿宋" w:eastAsia="仿宋"/>
                <w:sz w:val="32"/>
                <w:szCs w:val="32"/>
              </w:rPr>
            </w:pPr>
          </w:p>
        </w:tc>
        <w:tc>
          <w:tcPr>
            <w:tcW w:w="1846" w:type="dxa"/>
            <w:tcBorders>
              <w:top w:val="single" w:color="000000" w:sz="4" w:space="0"/>
              <w:left w:val="nil"/>
              <w:bottom w:val="single" w:color="000000" w:sz="4" w:space="0"/>
              <w:right w:val="single" w:color="000000" w:sz="4" w:space="0"/>
            </w:tcBorders>
          </w:tcPr>
          <w:p>
            <w:pPr>
              <w:ind w:right="640"/>
              <w:jc w:val="center"/>
              <w:rPr>
                <w:rFonts w:ascii="仿宋" w:hAnsi="仿宋" w:eastAsia="仿宋"/>
                <w:sz w:val="32"/>
                <w:szCs w:val="32"/>
              </w:rPr>
            </w:pPr>
          </w:p>
        </w:tc>
        <w:tc>
          <w:tcPr>
            <w:tcW w:w="1418" w:type="dxa"/>
            <w:tcBorders>
              <w:top w:val="single" w:color="000000" w:sz="4" w:space="0"/>
              <w:left w:val="nil"/>
              <w:bottom w:val="single" w:color="000000" w:sz="4" w:space="0"/>
              <w:right w:val="single" w:color="000000" w:sz="4" w:space="0"/>
            </w:tcBorders>
          </w:tcPr>
          <w:p>
            <w:pPr>
              <w:ind w:right="640"/>
              <w:jc w:val="center"/>
              <w:rPr>
                <w:rFonts w:ascii="仿宋" w:hAnsi="仿宋" w:eastAsia="仿宋"/>
                <w:sz w:val="32"/>
                <w:szCs w:val="32"/>
              </w:rPr>
            </w:pPr>
          </w:p>
        </w:tc>
        <w:tc>
          <w:tcPr>
            <w:tcW w:w="649" w:type="dxa"/>
            <w:tcBorders>
              <w:top w:val="single" w:color="000000" w:sz="4" w:space="0"/>
              <w:left w:val="nil"/>
              <w:bottom w:val="single" w:color="000000" w:sz="4" w:space="0"/>
              <w:right w:val="single" w:color="000000" w:sz="4" w:space="0"/>
            </w:tcBorders>
          </w:tcPr>
          <w:p>
            <w:pPr>
              <w:ind w:right="640"/>
              <w:jc w:val="center"/>
              <w:rPr>
                <w:rFonts w:ascii="仿宋" w:hAnsi="仿宋" w:eastAsia="仿宋"/>
                <w:sz w:val="32"/>
                <w:szCs w:val="32"/>
              </w:rPr>
            </w:pPr>
          </w:p>
        </w:tc>
        <w:tc>
          <w:tcPr>
            <w:tcW w:w="1418" w:type="dxa"/>
            <w:tcBorders>
              <w:top w:val="single" w:color="000000" w:sz="4" w:space="0"/>
              <w:left w:val="nil"/>
              <w:bottom w:val="single" w:color="000000" w:sz="4" w:space="0"/>
              <w:right w:val="single" w:color="000000" w:sz="4" w:space="0"/>
            </w:tcBorders>
          </w:tcPr>
          <w:p>
            <w:pPr>
              <w:ind w:right="640"/>
              <w:jc w:val="center"/>
              <w:rPr>
                <w:rFonts w:ascii="仿宋" w:hAnsi="仿宋" w:eastAsia="仿宋"/>
                <w:sz w:val="32"/>
                <w:szCs w:val="32"/>
              </w:rPr>
            </w:pPr>
          </w:p>
        </w:tc>
        <w:tc>
          <w:tcPr>
            <w:tcW w:w="3657" w:type="dxa"/>
            <w:tcBorders>
              <w:top w:val="single" w:color="000000" w:sz="4" w:space="0"/>
              <w:left w:val="nil"/>
              <w:bottom w:val="single" w:color="000000" w:sz="4" w:space="0"/>
              <w:right w:val="single" w:color="000000" w:sz="4" w:space="0"/>
            </w:tcBorders>
          </w:tcPr>
          <w:p>
            <w:pPr>
              <w:ind w:right="640"/>
              <w:jc w:val="center"/>
              <w:rPr>
                <w:rFonts w:ascii="仿宋" w:hAnsi="仿宋" w:eastAsia="仿宋"/>
                <w:sz w:val="32"/>
                <w:szCs w:val="32"/>
              </w:rPr>
            </w:pPr>
          </w:p>
        </w:tc>
        <w:tc>
          <w:tcPr>
            <w:tcW w:w="840" w:type="dxa"/>
            <w:tcBorders>
              <w:top w:val="single" w:color="000000" w:sz="4" w:space="0"/>
              <w:left w:val="nil"/>
              <w:bottom w:val="single" w:color="000000" w:sz="4" w:space="0"/>
              <w:right w:val="single" w:color="000000" w:sz="4" w:space="0"/>
            </w:tcBorders>
          </w:tcPr>
          <w:p>
            <w:pPr>
              <w:ind w:right="640"/>
              <w:jc w:val="center"/>
              <w:rPr>
                <w:rFonts w:ascii="仿宋" w:hAnsi="仿宋" w:eastAsia="仿宋"/>
                <w:sz w:val="32"/>
                <w:szCs w:val="32"/>
              </w:rPr>
            </w:pPr>
          </w:p>
        </w:tc>
        <w:tc>
          <w:tcPr>
            <w:tcW w:w="840" w:type="dxa"/>
            <w:tcBorders>
              <w:top w:val="single" w:color="000000" w:sz="4" w:space="0"/>
              <w:left w:val="nil"/>
              <w:bottom w:val="single" w:color="000000" w:sz="4" w:space="0"/>
              <w:right w:val="single" w:color="000000" w:sz="4" w:space="0"/>
            </w:tcBorders>
          </w:tcPr>
          <w:p>
            <w:pPr>
              <w:ind w:right="640"/>
              <w:jc w:val="center"/>
              <w:rPr>
                <w:rFonts w:ascii="仿宋" w:hAnsi="仿宋" w:eastAsia="仿宋"/>
                <w:sz w:val="32"/>
                <w:szCs w:val="32"/>
              </w:rPr>
            </w:pPr>
          </w:p>
        </w:tc>
        <w:tc>
          <w:tcPr>
            <w:tcW w:w="986" w:type="dxa"/>
            <w:tcBorders>
              <w:top w:val="single" w:color="000000" w:sz="4" w:space="0"/>
              <w:left w:val="nil"/>
              <w:bottom w:val="single" w:color="000000" w:sz="4" w:space="0"/>
              <w:right w:val="single" w:color="000000" w:sz="4" w:space="0"/>
            </w:tcBorders>
          </w:tcPr>
          <w:p>
            <w:pPr>
              <w:ind w:right="640"/>
              <w:jc w:val="center"/>
              <w:rPr>
                <w:rFonts w:ascii="仿宋" w:hAnsi="仿宋" w:eastAsia="仿宋"/>
                <w:sz w:val="32"/>
                <w:szCs w:val="32"/>
              </w:rPr>
            </w:pPr>
          </w:p>
        </w:tc>
      </w:tr>
    </w:tbl>
    <w:p>
      <w:pPr>
        <w:ind w:right="640"/>
        <w:jc w:val="center"/>
        <w:rPr>
          <w:rFonts w:hint="eastAsia" w:ascii="仿宋_GB2312" w:hAnsi="仿宋"/>
        </w:rPr>
      </w:pPr>
      <w:r>
        <w:rPr>
          <w:rFonts w:ascii="仿宋_GB2312" w:hAnsi="仿宋"/>
        </w:rPr>
        <w:t xml:space="preserve"> </w:t>
      </w:r>
    </w:p>
    <w:p>
      <w:pPr>
        <w:ind w:right="640"/>
        <w:rPr>
          <w:rFonts w:ascii="仿宋_GB2312" w:hAnsi="仿宋"/>
        </w:rPr>
      </w:pPr>
      <w:r>
        <w:rPr>
          <w:rFonts w:ascii="仿宋_GB2312" w:hAnsi="仿宋"/>
        </w:rPr>
        <w:t xml:space="preserve"> </w:t>
      </w:r>
    </w:p>
    <w:p>
      <w:pPr>
        <w:ind w:right="640"/>
        <w:rPr>
          <w:rFonts w:ascii="仿宋_GB2312" w:hAnsi="仿宋"/>
        </w:rPr>
      </w:pPr>
      <w:r>
        <w:rPr>
          <w:rFonts w:ascii="仿宋_GB2312" w:hAnsi="仿宋"/>
        </w:rPr>
        <w:t xml:space="preserve"> </w:t>
      </w:r>
    </w:p>
    <w:bookmarkEnd w:id="0"/>
    <w:p>
      <w:pPr>
        <w:ind w:right="640"/>
        <w:rPr>
          <w:rFonts w:ascii="仿宋" w:hAnsi="仿宋" w:eastAsia="仿宋"/>
          <w:sz w:val="24"/>
          <w:szCs w:val="24"/>
        </w:rPr>
      </w:pPr>
      <w:r>
        <w:rPr>
          <w:rFonts w:hint="eastAsia" w:ascii="仿宋" w:hAnsi="仿宋" w:eastAsia="仿宋"/>
          <w:sz w:val="24"/>
          <w:szCs w:val="24"/>
        </w:rPr>
        <w:t xml:space="preserve">注：此表由县级农机管理部门按机具类别填报                                      </w:t>
      </w:r>
    </w:p>
    <w:p>
      <w:pPr>
        <w:ind w:right="640" w:firstLine="105" w:firstLineChars="50"/>
        <w:rPr>
          <w:rFonts w:hint="eastAsia"/>
        </w:rPr>
      </w:pPr>
      <w:r>
        <w:rPr>
          <w:rFonts w:ascii="仿宋_GB2312" w:hAnsi="仿宋"/>
        </w:rPr>
        <w:br w:type="page"/>
      </w:r>
    </w:p>
    <w:p>
      <w:pPr>
        <w:rPr>
          <w:rFonts w:hint="eastAsia"/>
        </w:rPr>
      </w:pPr>
    </w:p>
    <w:sectPr>
      <w:pgSz w:w="16838" w:h="11906" w:orient="landscape"/>
      <w:pgMar w:top="1800" w:right="1440" w:bottom="1800" w:left="144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altName w:val="Times New Roman"/>
    <w:panose1 w:val="00000000000000000000"/>
    <w:charset w:val="00"/>
    <w:family w:val="auto"/>
    <w:pitch w:val="default"/>
    <w:sig w:usb0="00000000" w:usb1="00000000" w:usb2="00000000" w:usb3="00000000" w:csb0="00000000" w:csb1="00000000"/>
  </w:font>
  <w:font w:name="_GB2312">
    <w:altName w:val="Segoe Print"/>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5B02DC"/>
    <w:rsid w:val="00323B43"/>
    <w:rsid w:val="003D37D8"/>
    <w:rsid w:val="004358AB"/>
    <w:rsid w:val="005B02DC"/>
    <w:rsid w:val="008B7726"/>
    <w:rsid w:val="009212B6"/>
    <w:rsid w:val="00D03565"/>
    <w:rsid w:val="63113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paragraph" w:styleId="3">
    <w:name w:val="Title"/>
    <w:basedOn w:val="1"/>
    <w:next w:val="1"/>
    <w:link w:val="6"/>
    <w:qFormat/>
    <w:uiPriority w:val="99"/>
    <w:pPr>
      <w:spacing w:before="240" w:after="60"/>
      <w:jc w:val="center"/>
      <w:outlineLvl w:val="0"/>
    </w:pPr>
    <w:rPr>
      <w:rFonts w:ascii="Cambria" w:hAnsi="Cambria"/>
      <w:b/>
      <w:bCs/>
      <w:sz w:val="32"/>
      <w:szCs w:val="32"/>
    </w:rPr>
  </w:style>
  <w:style w:type="character" w:customStyle="1" w:styleId="6">
    <w:name w:val="标题 Char"/>
    <w:basedOn w:val="5"/>
    <w:link w:val="3"/>
    <w:uiPriority w:val="99"/>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376</Words>
  <Characters>2147</Characters>
  <Lines>17</Lines>
  <Paragraphs>5</Paragraphs>
  <TotalTime>1</TotalTime>
  <ScaleCrop>false</ScaleCrop>
  <LinksUpToDate>false</LinksUpToDate>
  <CharactersWithSpaces>2518</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2019-09-04T01:34:00Z</dcterms:created>
  <dc:creator>xzjd</dc:creator>
  <cp:lastModifiedBy>Administrator</cp:lastModifiedBy>
  <dcterms:modified xsi:type="dcterms:W3CDTF">2019-11-14T03:01:19Z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